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5669" w:right="0" w:firstLine="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Приложение № 3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 распоряжению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ООО «ОЭК»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pStyle w:val="835"/>
        <w:ind w:left="5669" w:right="0" w:firstLine="0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от ______________№ ___________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</w:p>
    <w:p>
      <w:pPr>
        <w:pStyle w:val="835"/>
        <w:ind w:left="6236" w:right="0" w:firstLine="0"/>
        <w:rPr>
          <w:rFonts w:ascii="Liberation Serif" w:hAnsi="Liberation Serif" w:eastAsia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</w:p>
    <w:p>
      <w:pPr>
        <w:pStyle w:val="835"/>
        <w:jc w:val="center"/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</w:p>
    <w:p>
      <w:pPr>
        <w:pStyle w:val="835"/>
        <w:jc w:val="center"/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</w:p>
    <w:p>
      <w:pPr>
        <w:pStyle w:val="835"/>
        <w:jc w:val="center"/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Извещение </w:t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 w:val="0"/>
          <w:i w:val="0"/>
          <w:sz w:val="24"/>
          <w:szCs w:val="24"/>
          <w:highlight w:val="none"/>
        </w:rPr>
      </w:r>
    </w:p>
    <w:p>
      <w:pPr>
        <w:pStyle w:val="835"/>
        <w:jc w:val="center"/>
        <w:rPr>
          <w:rFonts w:ascii="Tinos" w:hAnsi="Tinos" w:cs="Tinos"/>
          <w:b/>
          <w:bCs/>
          <w:i w:val="0"/>
          <w:sz w:val="24"/>
          <w:szCs w:val="24"/>
        </w:rPr>
      </w:pP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о продаже имущества 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путем проведения запроса цен</w:t>
      </w:r>
      <w:r>
        <w:rPr>
          <w:rFonts w:ascii="Tinos" w:hAnsi="Tinos" w:cs="Tinos"/>
          <w:b/>
          <w:bCs/>
          <w:i w:val="0"/>
          <w:sz w:val="24"/>
          <w:szCs w:val="24"/>
        </w:rPr>
      </w:r>
      <w:r>
        <w:rPr>
          <w:rFonts w:ascii="Tinos" w:hAnsi="Tinos" w:cs="Tinos"/>
          <w:b/>
          <w:bCs/>
          <w:i w:val="0"/>
          <w:sz w:val="24"/>
          <w:szCs w:val="24"/>
        </w:rPr>
      </w:r>
    </w:p>
    <w:p>
      <w:pPr>
        <w:jc w:val="center"/>
        <w:rPr>
          <w:rFonts w:ascii="Tinos" w:hAnsi="Tinos" w:cs="Tinos"/>
          <w:b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cs="Tinos"/>
          <w:b/>
        </w:rPr>
      </w:r>
      <w:r>
        <w:rPr>
          <w:rFonts w:ascii="Tinos" w:hAnsi="Tinos" w:cs="Tinos"/>
          <w:b/>
        </w:rPr>
      </w:r>
    </w:p>
    <w:p>
      <w:pPr>
        <w:pStyle w:val="835"/>
        <w:jc w:val="both"/>
        <w:rPr>
          <w:rFonts w:ascii="Tinos" w:hAnsi="Tinos" w:cs="Tinos"/>
          <w:b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от «__»__________20__                                                                                                     № ____</w:t>
      </w:r>
      <w:r>
        <w:rPr>
          <w:rFonts w:ascii="Tinos" w:hAnsi="Tinos" w:cs="Tinos"/>
          <w:b/>
        </w:rPr>
      </w:r>
      <w:r>
        <w:rPr>
          <w:rFonts w:ascii="Tinos" w:hAnsi="Tinos" w:cs="Tinos"/>
          <w:b/>
        </w:rPr>
      </w:r>
    </w:p>
    <w:p>
      <w:pPr>
        <w:pStyle w:val="835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numPr>
          <w:ilvl w:val="0"/>
          <w:numId w:val="1"/>
        </w:numPr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Организатор конкурентной процедуры в лице ООО «Омская энергосбытовая компания» (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ИНН 5503248039,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расположенный по адресу: 644042, Омская область, г. Омск, проспект Карла Маркса, 41/15)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настоящим объявляет о проведении конкурентной процедуры запроса цен (далее – ЗЦ), и в этой связи приглашает юридических лиц (ЮЛ)/индивидуальных предпринимателей (ИП)/физических лиц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(ФЛ)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к участию в ЗЦ путем подачи предложений по покупке следующего имущества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 (далее – Имущество):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6"/>
        <w:contextualSpacing w:val="0"/>
        <w:ind w:left="0"/>
        <w:jc w:val="right"/>
        <w:spacing w:before="0" w:after="0"/>
        <w:tabs>
          <w:tab w:val="left" w:pos="0" w:leader="none"/>
        </w:tabs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tbl>
      <w:tblPr>
        <w:tblW w:w="9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134"/>
        <w:gridCol w:w="992"/>
        <w:gridCol w:w="850"/>
        <w:gridCol w:w="3968"/>
      </w:tblGrid>
      <w:tr>
        <w:tblPrEx/>
        <w:trPr>
          <w:trHeight w:val="812"/>
        </w:trPr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  <w:t xml:space="preserve">№ п/п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Наименование объекта имущества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Инвентарный номер/кадастровый (при наличии)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Начальная цена, руб. с НДС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Сумма обеспечительного платежа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Характеристика имущества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  <w:szCs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  <w:t xml:space="preserve">1/25</w:t>
            </w:r>
            <w:r>
              <w:rPr>
                <w:rFonts w:ascii="Tinos" w:hAnsi="Tinos" w:cs="Tinos"/>
                <w:sz w:val="20"/>
                <w:szCs w:val="20"/>
              </w:rPr>
            </w:r>
            <w:r>
              <w:rPr>
                <w:rFonts w:ascii="Tinos" w:hAnsi="Tinos" w:cs="Tinos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cs="Tinos"/>
                <w:sz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Toyota Camry,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г/нТ053ОУ55, </w:t>
            </w:r>
            <w:r>
              <w:rPr>
                <w:rFonts w:ascii="Tinos" w:hAnsi="Tinos" w:cs="Tinos"/>
                <w:sz w:val="20"/>
              </w:rPr>
            </w:r>
            <w:r>
              <w:rPr>
                <w:rFonts w:ascii="Tinos" w:hAnsi="Tinos" w:cs="Tinos"/>
                <w:sz w:val="20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С00024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4</w:t>
            </w:r>
            <w:r>
              <w:rPr>
                <w:rFonts w:ascii="Tinos" w:hAnsi="Tinos" w:cs="Tinos"/>
                <w:sz w:val="20"/>
              </w:rPr>
            </w:r>
            <w:r>
              <w:rPr>
                <w:rFonts w:ascii="Tinos" w:hAnsi="Tinos" w:cs="Tinos"/>
                <w:sz w:val="20"/>
              </w:rPr>
            </w:r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cs="Tinos"/>
                <w:sz w:val="20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1 689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cs="Tinos"/>
                <w:sz w:val="20"/>
              </w:rPr>
            </w:r>
            <w:r>
              <w:rPr>
                <w:rFonts w:ascii="Tinos" w:hAnsi="Tinos" w:cs="Tinos"/>
                <w:sz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84 450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Автомобиль 2015 года выпуска, VIN XW7BN4FK20S104948,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цвет – черный металлик, объем двигателя 1998 куб. см, мощность двигателя - 150 л.с., тип двигателя – бензиновый, АКПП, пробег - 184 409 км., техническое состояние - хорошее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  <w:t xml:space="preserve">2/25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г/н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Т891МА55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С000162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541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27 050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Автомобиль 2014 года выпуска,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XTT390995F1204457, цвет – «белая ночь», объем двигателя 2693 куб. см, мощность двигателя - 112,2 л.с., тип двигателя – бензиновый, МКПП, пробег - 149 955 км., техническое состояние - удовлетворительное.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</w:rPr>
            </w:r>
          </w:p>
        </w:tc>
      </w:tr>
      <w:tr>
        <w:tblPrEx/>
        <w:trPr>
          <w:trHeight w:val="2186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  <w:t xml:space="preserve">3/25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Т904МР55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С000170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года выпуска,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207105,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объем двигателя 2693 куб. см, мощность двигателя - 112,2 л.с., тип двигателя – бензиновый, МКПП, пробег - 279 847 км.,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удовлетворительное.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  <w:t xml:space="preserve">4/25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Т919МР55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С000180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206995,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объем двигателя 2693 куб. см, мощность двигателя - 112,2 л.с., тип двигателя – бензиновый, МКПП, пробег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46 030 км.,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  <w:t xml:space="preserve">5/25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Т934МР55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С000172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207109,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220 425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6/25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Т950МР55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С000186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207104,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222 898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-04,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Т938СА55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С000381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209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10 450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2016 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G1212029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«светло-серый»,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109 582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–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не 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УАЗ-390945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Т066ОУ55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С000241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XTT390945F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220722,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170 030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</w:tbl>
    <w:tbl>
      <w:tblPr>
        <w:tblW w:w="9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134"/>
        <w:gridCol w:w="992"/>
        <w:gridCol w:w="850"/>
        <w:gridCol w:w="3968"/>
      </w:tblGrid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ГАЗ-330232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Т781ОУ55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С000361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1 161 000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58 050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16 год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X96330232G2651097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белый,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бъем двигателя 2693 куб. см,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мощность двигателя - 106,8 л.с.,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191 360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Т917МР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С000179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XTT390995F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206987,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236 337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Т918МР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С000178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206986,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192 196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Т913МР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С000175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206964,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143 035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Т911МР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С000183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207059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236 337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  <w:t xml:space="preserve">/25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20"/>
              <w:widowControl w:val="off"/>
              <w:tabs>
                <w:tab w:val="left" w:pos="426" w:leader="none"/>
              </w:tabs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втомобиль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УАЗ-390995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г/н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Т908МР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55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С000173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right="-137"/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573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white"/>
                <w:u w:val="none"/>
              </w:rPr>
              <w:t xml:space="preserve"> 000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28 650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Автомобиль 2015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года выпуска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VIN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XTT3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0995F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206939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цвет – «белая ночь»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объем двигателя 2693 куб. см, мощность двигателя - 112,2 л.с., тип двигателя – бензиновый, МКПП, пробег -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244 792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км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техниче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ское состояние - 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у</w:t>
            </w:r>
            <w:r>
              <w:rPr>
                <w:rFonts w:ascii="Tinos" w:hAnsi="Tinos" w:eastAsia="Tinos" w:cs="Tinos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довлетворительное.</w:t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z w:val="22"/>
                <w:szCs w:val="22"/>
                <w:highlight w:val="white"/>
              </w:rPr>
            </w:r>
          </w:p>
        </w:tc>
      </w:tr>
    </w:tbl>
    <w:p>
      <w:pPr>
        <w:pStyle w:val="835"/>
        <w:jc w:val="both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color w:val="000000" w:themeColor="text1"/>
        </w:rPr>
      </w:pP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2. Проведение и участие в ЗЦ осуществляется на электронной корпоративной торговой площадке Группы «Интер РАО», размещенной в сети Интернет по адресу: </w:t>
      </w:r>
      <w:hyperlink w:history="1">
        <w:r>
          <w:rPr>
            <w:rStyle w:val="814"/>
            <w:rFonts w:ascii="Tinos" w:hAnsi="Tinos" w:eastAsia="Tinos" w:cs="Tinos"/>
            <w:b w:val="0"/>
            <w:bCs w:val="0"/>
            <w:i w:val="0"/>
            <w:iCs w:val="0"/>
            <w:color w:val="000000" w:themeColor="text1"/>
            <w:sz w:val="24"/>
            <w:szCs w:val="24"/>
          </w:rPr>
          <w:t xml:space="preserve">http://etp.interrao-zakupki.ru</w:t>
        </w:r>
      </w:hyperlink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(далее – ЭТП).</w:t>
      </w:r>
      <w:r>
        <w:rPr>
          <w:rFonts w:ascii="Tinos" w:hAnsi="Tinos" w:cs="Tinos"/>
          <w:color w:val="000000" w:themeColor="text1"/>
        </w:rPr>
      </w:r>
      <w:r>
        <w:rPr>
          <w:rFonts w:ascii="Tinos" w:hAnsi="Tinos" w:cs="Tinos"/>
          <w:color w:val="000000" w:themeColor="text1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Для принятия участия в ЗЦ участни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ку требуется пройти регистрацию на ЭТП, подать через личный кабинет участника на ЭТП заявку (по форме приложения №1 к настоящему извещению и приложений к ней) на участие в ЗЦ (далее – заявка) и сделать ценовое предложение не ниже начальной стоимости лота. 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Прохождение участником регистрации на ЭТП и подача им заявки выражает его согласие с порядком участия в ЗЦ в соответствии с настоящим извещением и Регламентом работы на ЭТП. Указанный регламент доступен к ознакомлению на стартовой странице ЭТП.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3. Имущество на праве собственности принадлежит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ООО «Омская энергосбытовая компания»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(далее – Продавец).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4. Местонахождение и условия передачи имущества: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644042, Омская область, г. Омск, проспект Карла Маркса, 41/15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самовывоз на условиях 100 % предоплаты. 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Местонахождение организатора: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644042, Омская область, г. Омск, проспект Карла Маркса, 41/15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.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b/>
          <w:bCs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По организационным вопросам можно обращаться к представителю организатора: 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Бенгардт Дмитрий Георгиевич, </w:t>
      </w:r>
      <w:r>
        <w:rPr>
          <w:rFonts w:ascii="Tinos" w:hAnsi="Tinos" w:eastAsia="Tinos" w:cs="Tinos"/>
          <w:b/>
          <w:bCs/>
          <w:i w:val="0"/>
          <w:sz w:val="24"/>
          <w:szCs w:val="24"/>
        </w:rPr>
        <w:t xml:space="preserve">начальник отдела транспортного обеспечения, +7 962-031-04-81, 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8 (3812) 29-32-94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b/>
          <w:bCs/>
          <w:i w:val="0"/>
          <w:sz w:val="24"/>
          <w:szCs w:val="24"/>
        </w:rPr>
        <w:t xml:space="preserve"> 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Email: bengardt_dg@omesc.ru</w:t>
      </w:r>
      <w:r>
        <w:rPr>
          <w:rFonts w:ascii="Tinos" w:hAnsi="Tinos" w:cs="Tinos"/>
          <w:b/>
          <w:bCs/>
          <w:i w:val="0"/>
          <w:sz w:val="24"/>
          <w:szCs w:val="24"/>
        </w:rPr>
      </w:r>
      <w:r>
        <w:rPr>
          <w:rFonts w:ascii="Tinos" w:hAnsi="Tinos" w:cs="Tinos"/>
          <w:b/>
          <w:bCs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5. Обеспечение исполнения обязательств участника, вытекающих из его предложения, осуществляется путем внесения обеспечительного платежа.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Обеспечительный платеж вносится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участником б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ез подписания отдельного договора на основании принятия участником условий настоящего извещения путем подписания заявки. В назначении платежа в платежном документе указывается «Обеспечительный платеж для участия в конкурентной процедуре покупки (ЗЦ) – </w:t>
      </w:r>
      <w:r>
        <w:rPr>
          <w:rFonts w:ascii="Tinos" w:hAnsi="Tinos" w:eastAsia="Tinos" w:cs="Tinos"/>
          <w:b w:val="0"/>
          <w:bCs w:val="0"/>
          <w:i/>
          <w:iCs/>
          <w:sz w:val="24"/>
          <w:szCs w:val="24"/>
        </w:rPr>
        <w:t xml:space="preserve">(указать наименование имущества)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».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cs="Tinos"/>
          <w:sz w:val="24"/>
          <w:szCs w:val="24"/>
          <w:highlight w:val="none"/>
        </w:rPr>
        <w:t xml:space="preserve">В случае</w:t>
      </w:r>
      <w:r>
        <w:rPr>
          <w:rFonts w:ascii="Tinos" w:hAnsi="Tinos" w:cs="Tinos"/>
          <w:sz w:val="24"/>
          <w:szCs w:val="24"/>
          <w:highlight w:val="none"/>
        </w:rPr>
        <w:t xml:space="preserve">, если победитель ЗЦ уклоняется или отказывается от заключения/подписания или исполнения договора купли-продажи имущества (далее – ДКП имущества), то сумма равная денежному обеспечению поданной им заявки не возвращается и служит продавцу в качестве штрафа.</w:t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highlight w:val="none"/>
        </w:rPr>
      </w:pPr>
      <w:r>
        <w:rPr>
          <w:rFonts w:ascii="Tinos" w:hAnsi="Tinos" w:cs="Tinos"/>
          <w:sz w:val="24"/>
          <w:szCs w:val="24"/>
          <w:highlight w:val="none"/>
        </w:rPr>
        <w:t xml:space="preserve">Обеспечительный платеж, перечис</w:t>
      </w:r>
      <w:r>
        <w:rPr>
          <w:rFonts w:ascii="Tinos" w:hAnsi="Tinos" w:cs="Tinos"/>
          <w:sz w:val="24"/>
          <w:szCs w:val="24"/>
          <w:highlight w:val="none"/>
        </w:rPr>
        <w:t xml:space="preserve">ленный участником, признанным победителем ЗЦ, засчитывается в сумму платежа по ДКП имущества, и с даты заключения ДКП имущества считается задатком по ДКП имущества и не возвращается участнику (победителю) ЗЦ в случае неисполнения им условий ДКП имущества. 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highlight w:val="whit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На обеспечительный платеж не начисляются и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не выплачиваются проценты за пользование чужими денежными средствами.</w:t>
      </w:r>
      <w:r>
        <w:rPr>
          <w:rFonts w:ascii="Tinos" w:hAnsi="Tinos" w:cs="Tinos"/>
          <w:highlight w:val="white"/>
        </w:rPr>
      </w:r>
      <w:r>
        <w:rPr>
          <w:rFonts w:ascii="Tinos" w:hAnsi="Tinos" w:cs="Tinos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Размер обеспечительного платежа по лотам составляет: 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1/25: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84 450  (восемьдесят четыре тысячи четыреста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2/25: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27 050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семь тысяч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3/25: в размере 28 650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4/25: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5/25: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6/25: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7/25: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10 450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(десять тысяч четыреста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8/25: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/>
          <w:bCs/>
          <w:sz w:val="24"/>
          <w:szCs w:val="24"/>
          <w:highlight w:val="white"/>
        </w:rPr>
      </w:r>
      <w:r>
        <w:rPr>
          <w:rFonts w:ascii="Tinos" w:hAnsi="Tinos" w:eastAsia="Tinos" w:cs="Tinos"/>
          <w:b/>
          <w:bCs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9/25: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58 050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(пятьдесят восемь тысяч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10/25: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11/25: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12/25: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13/25: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Лот 14/25: в размере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2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8 650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  (двадцать восемь тысяч шестьсот пятьдесят)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  <w:t xml:space="preserve">рублей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00 копеек,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Н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ДС не облагается.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Обеспечительный платеж должен быть перечислен на расчетный счет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продавца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по следующим реквизитам: 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Получатель: ООО «Омская энергосбытовая компания»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ИНН: 5503248039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КПП: 550401001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Банк: Банк ГПБ (АО)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Корр. счет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30101810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00000000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823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/>
          <w:bCs/>
          <w:i w:val="0"/>
          <w:sz w:val="24"/>
          <w:szCs w:val="24"/>
          <w:highlight w:val="white"/>
        </w:rPr>
      </w:pPr>
      <w:r>
        <w:rPr>
          <w:rFonts w:ascii="Tinos" w:hAnsi="Tinos" w:eastAsia="Tinos" w:cs="Tinos"/>
          <w:b/>
          <w:bCs/>
          <w:i w:val="0"/>
          <w:sz w:val="24"/>
          <w:szCs w:val="24"/>
          <w:highlight w:val="none"/>
        </w:rPr>
        <w:t xml:space="preserve">БИК: 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0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4</w:t>
      </w:r>
      <w:r>
        <w:rPr>
          <w:rFonts w:ascii="Times New Roman" w:hAnsi="Times New Roman" w:cs="Times New Roman"/>
          <w:b/>
          <w:bCs/>
          <w:sz w:val="24"/>
          <w:highlight w:val="white"/>
        </w:rPr>
        <w:t xml:space="preserve">4525823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white"/>
        </w:rPr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Обеспечительные платежи возвращается участникам на их расчетные банковские счета, указанные в заявках, в течение 30 календарных дней со дня подведения итогов ЗЦ за исключением участника, с которым заключен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или планируется к заключению договор ДКП имущества по итогам проведения ЗЦ.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none"/>
        </w:rPr>
        <w:t xml:space="preserve">6.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none"/>
        </w:rPr>
        <w:t xml:space="preserve">Заявка на участие в ЗЦ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 должна быть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подготовлена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в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соответстви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и с приложением № 1 к настоящему извещению и подписана участником лично или лицом, имеющим право в соответствии с законодательством РФ действовать от лица участника без доверенности, или надлежащим образом уполномоченным им лицом на основании доверенности.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cs="Tinos"/>
          <w:sz w:val="24"/>
          <w:szCs w:val="24"/>
          <w:highlight w:val="none"/>
        </w:rPr>
        <w:t xml:space="preserve">В составе заявки участник обязан сделать предложение по покупке лота.</w:t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cs="Tinos"/>
          <w:sz w:val="24"/>
          <w:szCs w:val="24"/>
          <w:highlight w:val="none"/>
        </w:rPr>
        <w:t xml:space="preserve">Данное предложение считается действительным в течение срока, указанного в нем участником ЗЦ, но не менее 90 календарных дне</w:t>
      </w:r>
      <w:r>
        <w:rPr>
          <w:rFonts w:ascii="Tinos" w:hAnsi="Tinos" w:cs="Tinos"/>
          <w:sz w:val="24"/>
          <w:szCs w:val="24"/>
          <w:highlight w:val="none"/>
        </w:rPr>
        <w:t xml:space="preserve">й  со дня, следующего за днем окончания процедуры ЗЦ. </w:t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7. Прием заявок и подача ценовых предложен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ий осуществляется с 12:00 МСК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31.01.2025 до 12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:00 МСК 15.02.2025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.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Заявка должна быть подана путем размещения в лоте на покупку имущества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на ЭТП скан-образов подписанной в соответствии п. 6 настоящего извещения заявки, а также прилагаемых к ней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документов: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jc w:val="both"/>
        <w:rPr>
          <w:rFonts w:ascii="Tinos" w:hAnsi="Tinos" w:cs="Tinos"/>
          <w:bCs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-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платежного документа, подтверждающего внесение обеспечительного платежа (согласно п. 5 настоящего извещения);</w:t>
      </w:r>
      <w:r>
        <w:rPr>
          <w:rFonts w:ascii="Tinos" w:hAnsi="Tinos" w:cs="Tinos"/>
          <w:bCs/>
        </w:rPr>
      </w:r>
      <w:r>
        <w:rPr>
          <w:rFonts w:ascii="Tinos" w:hAnsi="Tinos" w:cs="Tinos"/>
          <w:bCs/>
        </w:rPr>
      </w:r>
    </w:p>
    <w:p>
      <w:pPr>
        <w:pStyle w:val="835"/>
        <w:jc w:val="both"/>
        <w:rPr>
          <w:rFonts w:ascii="Tinos" w:hAnsi="Tinos" w:cs="Tinos"/>
          <w:bCs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-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документа, удостоверяющего личность в соответствии с законодательством;</w:t>
      </w:r>
      <w:r>
        <w:rPr>
          <w:rFonts w:ascii="Tinos" w:hAnsi="Tinos" w:cs="Tinos"/>
          <w:bCs/>
        </w:rPr>
      </w:r>
      <w:r>
        <w:rPr>
          <w:rFonts w:ascii="Tinos" w:hAnsi="Tinos" w:cs="Tinos"/>
          <w:bCs/>
        </w:rPr>
      </w:r>
    </w:p>
    <w:p>
      <w:pPr>
        <w:pStyle w:val="835"/>
        <w:jc w:val="both"/>
        <w:rPr>
          <w:rFonts w:ascii="Tinos" w:hAnsi="Tinos" w:cs="Tinos"/>
          <w:bCs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-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учредительных документов со всеми изменениями и дополнениями актуальными на дату подписания заявки;</w:t>
      </w:r>
      <w:r>
        <w:rPr>
          <w:rFonts w:ascii="Tinos" w:hAnsi="Tinos" w:cs="Tinos"/>
          <w:bCs/>
        </w:rPr>
      </w:r>
      <w:r>
        <w:rPr>
          <w:rFonts w:ascii="Tinos" w:hAnsi="Tinos" w:cs="Tinos"/>
          <w:bCs/>
        </w:rPr>
      </w:r>
    </w:p>
    <w:p>
      <w:pPr>
        <w:pStyle w:val="835"/>
        <w:jc w:val="both"/>
        <w:rPr>
          <w:rFonts w:ascii="Tinos" w:hAnsi="Tinos" w:cs="Tinos"/>
          <w:bCs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-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свидетельства о государственной регистрации ЮЛ/ИП;</w:t>
      </w:r>
      <w:r>
        <w:rPr>
          <w:rFonts w:ascii="Tinos" w:hAnsi="Tinos" w:cs="Tinos"/>
          <w:bCs/>
        </w:rPr>
      </w:r>
      <w:r>
        <w:rPr>
          <w:rFonts w:ascii="Tinos" w:hAnsi="Tinos" w:cs="Tinos"/>
          <w:bCs/>
        </w:rPr>
      </w:r>
    </w:p>
    <w:p>
      <w:pPr>
        <w:pStyle w:val="835"/>
        <w:jc w:val="both"/>
        <w:rPr>
          <w:rFonts w:ascii="Tinos" w:hAnsi="Tinos" w:cs="Tinos"/>
          <w:bCs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-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документа, подтверждающего полномочия лица, подписавшего заявку (если применимо);</w:t>
      </w:r>
      <w:r>
        <w:rPr>
          <w:rFonts w:ascii="Tinos" w:hAnsi="Tinos" w:cs="Tinos"/>
          <w:bCs/>
        </w:rPr>
      </w:r>
      <w:r>
        <w:rPr>
          <w:rFonts w:ascii="Tinos" w:hAnsi="Tinos" w:cs="Tinos"/>
          <w:bCs/>
        </w:rPr>
      </w:r>
    </w:p>
    <w:p>
      <w:pPr>
        <w:pStyle w:val="835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-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согласи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на обработку персональных данных в формате приложения №4 к настоящему извещению.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Не предоставление всех или любого из вышеуказанных документов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а также некорректное его заполнение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может быть основанием для отклонения организатором заявки участника.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none"/>
        </w:rPr>
        <w:t xml:space="preserve">Участники, не допу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none"/>
        </w:rPr>
        <w:t xml:space="preserve">щенные к участию в настоящей конкурентной процедуре,  уведомляются о принятом решении посредством ЭТП с указанием причины отклонения заявки. Уведомление об отклонении заявки поступает на адрес электронной почты, указанной при регистрации участника на ЭТП. 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i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8. После окончания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срока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для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приема заявок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при наличии двух и более допущенных участников,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между ними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проводится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процедур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а улучшения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ценовых предложений в электронной форме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о чем участники уведомляются через личный кабинет на ЭТП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Данная п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роцедура про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водится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в режиме онлайн на ЭТП в соответствии с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Регламентом работы на ЭТП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в том числе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:</w:t>
      </w:r>
      <w:r>
        <w:rPr>
          <w:rFonts w:ascii="Tinos" w:hAnsi="Tinos" w:cs="Tinos"/>
          <w:i/>
        </w:rPr>
      </w:r>
      <w:r>
        <w:rPr>
          <w:rFonts w:ascii="Tinos" w:hAnsi="Tinos" w:cs="Tinos"/>
          <w:i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a. Процедура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улучшения ценовых предложений применяется к наивысшей из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ранее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заявленных участниками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цен за имущество в рамках подачи ценовых предложений;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i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b. Каждый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участник имеет право подачи неограниченного количества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ценовых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предложений;</w:t>
      </w:r>
      <w:r>
        <w:rPr>
          <w:rFonts w:ascii="Tinos" w:hAnsi="Tinos" w:cs="Tinos"/>
          <w:i/>
        </w:rPr>
      </w:r>
      <w:r>
        <w:rPr>
          <w:rFonts w:ascii="Tinos" w:hAnsi="Tinos" w:cs="Tinos"/>
          <w:i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i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с. Подача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ценовых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предложений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проводится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в течени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е срока, предусмотренного на ЭТП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;</w:t>
      </w:r>
      <w:r>
        <w:rPr>
          <w:rFonts w:ascii="Tinos" w:hAnsi="Tinos" w:cs="Tinos"/>
          <w:i/>
        </w:rPr>
      </w:r>
      <w:r>
        <w:rPr>
          <w:rFonts w:ascii="Tinos" w:hAnsi="Tinos" w:cs="Tinos"/>
          <w:i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i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d. Процедура завершается по истечении срока подачи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ценовых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предложений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или по истечении 20 минут после подачи последнего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ценового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предложения, если такое предложени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было сделано менее чем за 20 минут до истечения срока подачи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ценовых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предложений.</w:t>
      </w:r>
      <w:r>
        <w:rPr>
          <w:rFonts w:ascii="Tinos" w:hAnsi="Tinos" w:cs="Tinos"/>
          <w:i/>
        </w:rPr>
      </w:r>
      <w:r>
        <w:rPr>
          <w:rFonts w:ascii="Tinos" w:hAnsi="Tinos" w:cs="Tinos"/>
          <w:i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9. По итогам проведения ЗЦ, участник, занявший первое место в итоговом ранжире, в течение одного рабочего дня с момента завершения процедуры ЗЦ на ЭТП должен направить организатору сведения о цепочке собственников компании </w:t>
      </w:r>
      <w:r>
        <w:rPr>
          <w:rFonts w:ascii="Tinos" w:hAnsi="Tinos" w:eastAsia="Tinos" w:cs="Tinos"/>
          <w:b w:val="0"/>
          <w:bCs w:val="0"/>
          <w:i/>
          <w:iCs/>
          <w:sz w:val="24"/>
          <w:szCs w:val="24"/>
        </w:rPr>
        <w:t xml:space="preserve">(включая конечных бенефициаров)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(по форме приложения №3 к настоящему извещению с подтверждающими документами)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на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электронный адрес ответственного лица организатора: 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bengardt_dg@omesc.ru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в теме электронного письма следует указать «наименование компании продавца» и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«наименование компании участника».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none"/>
        </w:rPr>
        <w:t xml:space="preserve">Непредоставление сведений о цепочке собственников компании (включая бенефициаров)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(по форме приложения №3 к настоящему извещению с подтверждающими документами)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none"/>
        </w:rPr>
        <w:t xml:space="preserve"> в вышеуказанный срок может послужить основанием для отклонения заявки участника на ЭТП, при этом сумма равная денежному обеспечению поданной им заявки не возвращается и служит продавцу в качестве штрафа. 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10. Победителем ЗЦ признается участник, предложивший наи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высшую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цену за имущество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по результатам подачи ценовых предложений и проведения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процедуры улучшения ценовых предложений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при наличии двух и более допущенных участников (далее – победитель).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При равности цен (на момент подачи заявки и ценового предложения), пред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ложенных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участниками, в случае отсутствия дополнительных ценовых предложений от участников, победителем признается участник, который первым подал ценовое предложение в порядке п. 2 и п. 7 настоящего извещения.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 случае, когда к участию в ЗЦ допущен только один участник, то на него распространяются правила по заключению ДКП аналогично как для победителя.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b w:val="0"/>
          <w:bCs w:val="0"/>
          <w:i w:val="0"/>
          <w:sz w:val="24"/>
          <w:szCs w:val="24"/>
          <w:highlight w:val="whit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  <w:highlight w:val="white"/>
        </w:rPr>
        <w:t xml:space="preserve">Победитель определяется решением организатора и уведомляется о победе посредством ЭТП.</w:t>
      </w:r>
      <w:r>
        <w:rPr>
          <w:rFonts w:ascii="Tinos" w:hAnsi="Tinos" w:cs="Tinos"/>
          <w:b w:val="0"/>
          <w:bCs w:val="0"/>
          <w:i w:val="0"/>
          <w:sz w:val="24"/>
          <w:szCs w:val="24"/>
          <w:highlight w:val="white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  <w:highlight w:val="whit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11. Участник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 течение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10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(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десяти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) рабочих дней со дня его уведомления через личный кабинет участника на ЭТП о признании победителем обязан заключить (подписать) со своей стороны ДКП имущества по форме приложения № 2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к настоящему извещению,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с указанием цены, на основании заявления которой он был признан победителем.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 случае уклонения/отказа победителя от заключения (подписания) ДКП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имущества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продавец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вправе заключить ДКП имущества с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 следующим по итоговому ранжиру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участником, и такой участник в течение 3 (трех) рабочих дней со дня его уведомления через личный кабинет участника на ЭТП обязан заключить (подписать) ДКП имущества.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В подтверждение заключения (подписания) ДКП имущества победи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тель/участник обязан в течение вышеуказанного срока разместить в личном кабинете участника на ЭТП подписанный с помощью электронного документооборота ДКП имущества или скан-образ подписанного с его стороны ДКП имущества.</w:t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Отказ победителя/участника от заключения ДКП имущества вообще или по заявленной им цене влечет наложение штрафа в порядке п. 5 настоящего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извещения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12. Настоящее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извещение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не является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офертой и/или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извещением о проведении торгов и не имеет соответствующих правовых последствий.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Предметом ЗЦ является конкурентный отбор потенциальных контрагентов (покупателей) для будущего направления покупателем своей оферты и возможного заключения с продавцом ДКП имущества.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ЗЦ не является разновидностью торгов и не подпадает под регулирование статей 447-449 Гражданского кодекса Российской Федерации. У организатора или прод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авца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 не возникает обязательств заключения ДКП имущества по итогам ЗЦ. Организатор/продавец имеет право отказаться от всех полученных заявок по любой причине или прекратить процедуру ЗЦ в любой момент, не неся при этом никакой ответственности перед участниками.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13. Организатор оставляет за собой право вносить изменения в настоящее 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извещение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.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5"/>
        <w:ind w:left="0" w:right="0" w:firstLine="567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  <w:highlight w:val="none"/>
        </w:rPr>
        <w:t xml:space="preserve">14. Для осмотра и предоставления дополнительной информации о продаваемом имуществе, а также по вопросам возврата обеспечительного платежа обращаться к </w:t>
      </w:r>
      <w:r>
        <w:rPr>
          <w:rFonts w:ascii="Tinos" w:hAnsi="Tinos" w:eastAsia="Tinos" w:cs="Tinos"/>
          <w:b/>
          <w:bCs/>
          <w:i w:val="0"/>
          <w:sz w:val="24"/>
          <w:szCs w:val="24"/>
        </w:rPr>
        <w:t xml:space="preserve">начальнику отдела транспортного обеспечения</w:t>
      </w:r>
      <w:r>
        <w:rPr>
          <w:rFonts w:ascii="Tinos" w:hAnsi="Tinos" w:eastAsia="Tinos" w:cs="Tinos"/>
          <w:b/>
          <w:bCs/>
          <w:i w:val="0"/>
          <w:iCs w:val="0"/>
          <w:sz w:val="24"/>
          <w:szCs w:val="24"/>
        </w:rPr>
        <w:t xml:space="preserve"> - Бенгардту Дмитрию Георгиевичу</w:t>
      </w:r>
      <w:r>
        <w:rPr>
          <w:rFonts w:ascii="Tinos" w:hAnsi="Tinos" w:eastAsia="Tinos" w:cs="Tinos"/>
          <w:b/>
          <w:bCs/>
          <w:i w:val="0"/>
          <w:sz w:val="24"/>
          <w:szCs w:val="24"/>
        </w:rPr>
        <w:t xml:space="preserve">, +7 962-031-04-81, 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8 (3812) 29-32-94</w:t>
      </w:r>
      <w:r>
        <w:rPr>
          <w:rFonts w:ascii="Tinos" w:hAnsi="Tinos" w:eastAsia="Tinos" w:cs="Tinos"/>
          <w:b/>
          <w:bCs/>
          <w:i w:val="0"/>
          <w:sz w:val="24"/>
          <w:szCs w:val="24"/>
          <w:highlight w:val="white"/>
        </w:rPr>
        <w:t xml:space="preserve">,</w:t>
      </w:r>
      <w:r>
        <w:rPr>
          <w:rFonts w:ascii="Tinos" w:hAnsi="Tinos" w:eastAsia="Tinos" w:cs="Tinos"/>
          <w:b/>
          <w:bCs/>
          <w:i w:val="0"/>
          <w:sz w:val="24"/>
          <w:szCs w:val="24"/>
        </w:rPr>
        <w:t xml:space="preserve"> </w:t>
      </w:r>
      <w:r>
        <w:rPr>
          <w:rFonts w:ascii="Tinos" w:hAnsi="Tinos" w:eastAsia="Tinos" w:cs="Tinos"/>
          <w:b/>
          <w:bCs/>
          <w:sz w:val="24"/>
          <w:szCs w:val="24"/>
        </w:rPr>
        <w:t xml:space="preserve">Email: bengardt_dg@omesc.ru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5"/>
        <w:jc w:val="both"/>
        <w:rPr>
          <w:rFonts w:ascii="Tinos" w:hAnsi="Tinos" w:cs="Tinos"/>
          <w:i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cs="Tinos"/>
          <w:i/>
        </w:rPr>
      </w:r>
      <w:r>
        <w:rPr>
          <w:rFonts w:ascii="Tinos" w:hAnsi="Tinos" w:cs="Tinos"/>
          <w:i/>
        </w:rPr>
      </w:r>
    </w:p>
    <w:p>
      <w:pPr>
        <w:pStyle w:val="835"/>
        <w:jc w:val="both"/>
        <w:rPr>
          <w:rFonts w:ascii="Tinos" w:hAnsi="Tinos" w:cs="Tinos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5"/>
        <w:jc w:val="both"/>
        <w:rPr>
          <w:rFonts w:ascii="Tinos" w:hAnsi="Tinos" w:eastAsia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Приложение: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  <w:r>
        <w:rPr>
          <w:rFonts w:ascii="Tinos" w:hAnsi="Tinos" w:eastAsia="Tinos" w:cs="Tinos"/>
          <w:b w:val="0"/>
          <w:bCs w:val="0"/>
          <w:i w:val="0"/>
          <w:sz w:val="24"/>
          <w:szCs w:val="24"/>
        </w:rPr>
      </w:r>
    </w:p>
    <w:p>
      <w:pPr>
        <w:pStyle w:val="835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1.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  <w:t xml:space="preserve">Форма заявки на участие в запросе цен на 2 л. 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2.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  <w:t xml:space="preserve">Форма договора купли-продажи имущества на 5 л.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3.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  <w:t xml:space="preserve">Форма справки о собственниках/бенефициарах участника на 1 л.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jc w:val="both"/>
        <w:rPr>
          <w:rFonts w:ascii="Tinos" w:hAnsi="Tinos" w:cs="Tinos"/>
          <w:b w:val="0"/>
          <w:bCs w:val="0"/>
          <w:i w:val="0"/>
          <w:sz w:val="24"/>
          <w:szCs w:val="24"/>
        </w:rPr>
      </w:pP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 xml:space="preserve">4.</w:t>
      </w:r>
      <w:r>
        <w:rPr>
          <w:rFonts w:ascii="Tinos" w:hAnsi="Tinos" w:eastAsia="Tinos" w:cs="Tinos"/>
          <w:b w:val="0"/>
          <w:bCs w:val="0"/>
          <w:i w:val="0"/>
          <w:iCs w:val="0"/>
          <w:sz w:val="24"/>
          <w:szCs w:val="24"/>
        </w:rPr>
        <w:tab/>
        <w:t xml:space="preserve">Форма согласия на обработку персональных данных на 1 л.</w:t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  <w:r>
        <w:rPr>
          <w:rFonts w:ascii="Tinos" w:hAnsi="Tinos" w:cs="Tinos"/>
          <w:b w:val="0"/>
          <w:bCs w:val="0"/>
          <w:i w:val="0"/>
          <w:sz w:val="24"/>
          <w:szCs w:val="24"/>
        </w:rPr>
      </w:r>
    </w:p>
    <w:p>
      <w:pPr>
        <w:pStyle w:val="835"/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2025-01-29T09:37:24Z</dcterms:modified>
</cp:coreProperties>
</file>