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КУПЛИ-ПРОДАЖИ (ПОСТАВКИ)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ЭЛЕКТРИЧЕСКОЙ ЭНЕРГИИ (МОЩНОСТИ) №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</w:t>
      </w:r>
      <w:r>
        <w:rPr>
          <w:rFonts w:ascii="Times New Roman" w:hAnsi="Times New Roman"/>
          <w:b/>
          <w:bCs/>
          <w:sz w:val="16"/>
          <w:szCs w:val="16"/>
        </w:rPr>
        <w:t xml:space="preserve">о</w:t>
      </w:r>
      <w:r>
        <w:rPr>
          <w:rFonts w:ascii="Times New Roman" w:hAnsi="Times New Roman"/>
          <w:b/>
          <w:bCs/>
          <w:sz w:val="16"/>
          <w:szCs w:val="16"/>
        </w:rPr>
        <w:t xml:space="preserve">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“Покупатель”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стороны, а вместе именуемые «Стороны», заключили настоящий Договор о нижеследующем: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ind w:left="216" w:right="242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поставщик обязуется осуществлять продажу электрической энергии (мощности), а Покупатель обязуется принимать и оплачивать приобретаемую электрическую энергию (мощность).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Покупатель приобретает электрическую энергию (мощность) по настоящему Договору в целях ее продажи Потребителю. Перечень объектов Потребителей приведен в Приложении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Настоящим Договором не регулируются отношения, связанные с оперативно-диспетчерским управлением и передачей электрической энергии в отношении энергопринимающих устройств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(кВтч, кВарч).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– лицо, на законном основании владеющее энергопринимающим устройством, в отношении которого осуществляется поставка электрической энергии по настоящему Договору, и имеющее договор на снабжение электрической энергией с Покупателем.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электрической энергии не приобретает прав и обязанностей по настоящему Договору, в том числе не является третьим лицом, в пользу которого заключен настоящий Договор (ст. 430 ГК РФ).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</w:t>
      </w:r>
      <w:bookmarkStart w:id="0" w:name="_GoBack"/>
      <w:r/>
      <w:bookmarkEnd w:id="0"/>
      <w:r>
        <w:rPr>
          <w:rFonts w:ascii="Times New Roman" w:hAnsi="Times New Roman"/>
          <w:sz w:val="16"/>
          <w:szCs w:val="16"/>
        </w:rPr>
        <w:t xml:space="preserve">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</w:t>
      </w:r>
      <w:r>
        <w:rPr>
          <w:rFonts w:ascii="Times New Roman" w:hAnsi="Times New Roman"/>
          <w:sz w:val="16"/>
          <w:szCs w:val="16"/>
        </w:rPr>
        <w:t xml:space="preserve">, включение текста уведомления в счет на оплату, направление короткого текстового сообщения (смс-сообщение)</w:t>
      </w:r>
      <w:r>
        <w:rPr>
          <w:rFonts w:ascii="Times New Roman" w:hAnsi="Times New Roman"/>
          <w:sz w:val="16"/>
          <w:szCs w:val="16"/>
        </w:rPr>
        <w:t xml:space="preserve">, телефонограмма (с обязательным указанием лица, принявшего телефонограмму), факсимильное сообщение, с нарочным, по радиотрансляционной сети, а также иным способом, позволяющим определить факт и время получения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период (расчетный месяц) – период, равный одному календарному месяцу.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ind w:left="216" w:right="240" w:firstLine="425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1.1. Поставлять Покупателю энергию (мощность) в количестве, не превышающем указанные в Приложении № 1 к Договору объемы и величину максимальной мощности, в предусмотренные Приложением № 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Подавать электрическую энергию, качество которой должно соответствовать требованиям законодательства РФ, в том числе ГОСТ 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2.1.3.</w:t>
      </w:r>
      <w:r>
        <w:rPr>
          <w:rFonts w:ascii="Times New Roman" w:hAnsi="Times New Roman"/>
          <w:sz w:val="16"/>
          <w:szCs w:val="16"/>
        </w:rPr>
        <w:t xml:space="preserve"> Обеспечивать коммерческий учет электрич</w:t>
      </w:r>
      <w:r>
        <w:rPr>
          <w:rFonts w:ascii="Times New Roman" w:hAnsi="Times New Roman"/>
          <w:sz w:val="16"/>
          <w:szCs w:val="16"/>
        </w:rPr>
        <w:t xml:space="preserve">еской энергии (мощности) на розничных рынках с применением приборов учета энергии и (или) иного оборудования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2.1.4.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Осуществлять действия, необходимые для реализации Покупателем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связи с наступлением обстоятельств, указанных в Правилах полного и (или) частичного 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</w:t>
      </w:r>
      <w:r>
        <w:rPr>
          <w:rFonts w:ascii="Times New Roman" w:hAnsi="Times New Roman"/>
          <w:sz w:val="16"/>
          <w:szCs w:val="16"/>
        </w:rPr>
        <w:t xml:space="preserve">отребления электрической энергии (далее – ограничение режима потребления) по Договору с учетом величин технологической и (или) аварийной брони, а также определенной в процессе технологического присоединения категории надежности энергоснабжения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случае неисполнения или ненадлежащего исполнения Покупателем обязательств по оплате в одностороннем порядке отказаться от исполнения Договора полностью, уведомив Покупателя об этом за 10 рабочих дней до заявляемой даты отказа от Договора. П</w:t>
      </w:r>
      <w:r>
        <w:rPr>
          <w:rFonts w:ascii="Times New Roman" w:hAnsi="Times New Roman"/>
          <w:sz w:val="16"/>
          <w:szCs w:val="16"/>
        </w:rPr>
        <w:t xml:space="preserve">ри этом для обеспечения бесперебойного энергоснабжения Потребителей Гарантирующий поставщик обязан обеспечить принятие их на обслуживание, организованное в установленном Основными положениями функционирования розничных рынков электрической энергии порядке.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2.2.3.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При необходимости в одностороннем порядке изменять номер Договора путем присвоения ему нового номера с обязательным уведомлением Покупателя о произведенных изменениях.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2.2.4. </w:t>
      </w:r>
      <w:r>
        <w:rPr>
          <w:rFonts w:ascii="Times New Roman" w:hAnsi="Times New Roman"/>
          <w:sz w:val="16"/>
          <w:szCs w:val="16"/>
        </w:rPr>
        <w:t xml:space="preserve">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прибора учета,</w:t>
      </w:r>
      <w:r>
        <w:rPr>
          <w:rFonts w:ascii="Times New Roman" w:hAnsi="Times New Roman"/>
          <w:sz w:val="16"/>
          <w:szCs w:val="16"/>
        </w:rPr>
        <w:t xml:space="preserve"> - при обращении Покупателя (Потребителя),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Производить не реже 1 раза в год проверку расчетных приборов учета энергии, а также контрольное снятие показаний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Покупатель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Производить оплату приобретаемой энергии (мощности)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2.3.2.Урег</w:t>
      </w:r>
      <w:r>
        <w:rPr>
          <w:rFonts w:ascii="Times New Roman" w:hAnsi="Times New Roman"/>
          <w:sz w:val="16"/>
          <w:szCs w:val="16"/>
        </w:rPr>
        <w:t xml:space="preserve">улировать отношения по передаче электрической энергии в отношении энергопринимающих устройств Потребителя в порядке, предусмотренном действующим законодательством РФ, и уведомить Гарантирующего поставщика о дате заключения договора оказания услуг по переда</w:t>
      </w:r>
      <w:r>
        <w:rPr>
          <w:rFonts w:ascii="Times New Roman" w:hAnsi="Times New Roman"/>
          <w:sz w:val="16"/>
          <w:szCs w:val="16"/>
        </w:rPr>
        <w:t xml:space="preserve">че электрической энергии с предоставлением Гарантирующему поставщику копии договора оказания услуг по передаче электрической энергии в отношении энергопринимающего устройства Потребителя, позволяющей установить момент начала оказания услуг по передаче элек</w:t>
      </w:r>
      <w:r>
        <w:rPr>
          <w:rFonts w:ascii="Times New Roman" w:hAnsi="Times New Roman"/>
          <w:sz w:val="16"/>
          <w:szCs w:val="16"/>
        </w:rPr>
        <w:t xml:space="preserve">трической энергии, а также содержащей сведения о величине максимальной мощности энергопринимающих устройств Потребителя с распределением указанной величины по каждой точке поставки и сведения об объеме электрической энергии (мощности), подлежащем передаче.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Обеспечить доступ к месту установки прибора учета энергии (в границах балансовой принадлежности энергопринимающих устройств Потребителя) лиц, уполномоченных на совершение действий по установке, вводу в эксплуатацию и демонтажу прибора учета, </w:t>
      </w:r>
      <w:r>
        <w:rPr>
          <w:rFonts w:ascii="Times New Roman" w:hAnsi="Times New Roman"/>
          <w:sz w:val="16"/>
          <w:szCs w:val="16"/>
        </w:rPr>
        <w:t xml:space="preserve">проверке и снятию показа</w:t>
      </w:r>
      <w:r>
        <w:rPr>
          <w:rFonts w:ascii="Times New Roman" w:hAnsi="Times New Roman"/>
          <w:sz w:val="16"/>
          <w:szCs w:val="16"/>
        </w:rPr>
        <w:t xml:space="preserve">ний, в том числе контрольному снятию показаний, в случаях и порядке, которые предусмотрены Основными положениями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</w:t>
      </w:r>
      <w:r>
        <w:rPr>
          <w:rFonts w:ascii="Times New Roman" w:hAnsi="Times New Roman"/>
          <w:sz w:val="16"/>
          <w:szCs w:val="16"/>
        </w:rPr>
        <w:t xml:space="preserve">борудования, которые используются для обеспечения коммерческого учета электрической энергии (мощности), 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2.3.4. </w:t>
      </w:r>
      <w:r>
        <w:rPr>
          <w:rFonts w:ascii="Times New Roman" w:hAnsi="Times New Roman"/>
          <w:sz w:val="16"/>
          <w:szCs w:val="16"/>
        </w:rPr>
        <w:t xml:space="preserve">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рынках и установленны</w:t>
      </w:r>
      <w:r>
        <w:rPr>
          <w:rFonts w:ascii="Times New Roman" w:hAnsi="Times New Roman"/>
          <w:sz w:val="16"/>
          <w:szCs w:val="16"/>
        </w:rPr>
        <w:t xml:space="preserve">х в границах 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Незамедлительно в письменной форме сообщать 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сетевой организации о любых неисправностях или утрате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</w:t>
      </w:r>
      <w:r>
        <w:rPr>
          <w:rFonts w:ascii="Times New Roman" w:hAnsi="Times New Roman"/>
          <w:sz w:val="16"/>
          <w:szCs w:val="16"/>
        </w:rPr>
        <w:t xml:space="preserve">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При проведении любого вида работ, связанных с изменением или нарушением схемы учета электроэнергии,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</w:t>
      </w:r>
      <w:r>
        <w:rPr>
          <w:rFonts w:ascii="Times New Roman" w:hAnsi="Times New Roman"/>
          <w:sz w:val="16"/>
          <w:szCs w:val="16"/>
        </w:rPr>
        <w:t xml:space="preserve"> сетев</w:t>
      </w:r>
      <w:r>
        <w:rPr>
          <w:rFonts w:ascii="Times New Roman" w:hAnsi="Times New Roman"/>
          <w:sz w:val="16"/>
          <w:szCs w:val="16"/>
        </w:rPr>
        <w:t xml:space="preserve">ую</w:t>
      </w:r>
      <w:r>
        <w:rPr>
          <w:rFonts w:ascii="Times New Roman" w:hAnsi="Times New Roman"/>
          <w:sz w:val="16"/>
          <w:szCs w:val="16"/>
        </w:rPr>
        <w:t xml:space="preserve"> организаци</w:t>
      </w:r>
      <w:r>
        <w:rPr>
          <w:rFonts w:ascii="Times New Roman" w:hAnsi="Times New Roman"/>
          <w:sz w:val="16"/>
          <w:szCs w:val="16"/>
        </w:rPr>
        <w:t xml:space="preserve">ю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перед началом работ.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2.3.7. </w:t>
      </w:r>
      <w:r>
        <w:rPr>
          <w:rFonts w:ascii="Times New Roman" w:hAnsi="Times New Roman"/>
          <w:sz w:val="16"/>
          <w:szCs w:val="16"/>
        </w:rPr>
        <w:t xml:space="preserve">Обеспечивать снятие и хранение показаний приборов учета, установленных в границах объектов Потребителя и не присоединенных к интеллектуальным системам учета электрической энергии (мощности), в соответствии с условиями настоящего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right="199" w:firstLine="534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заявки на договорный объем потребления энергии (мощности) в очередном году с помесячной разбивкой не позднее 1 апреля текущего года.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энергии может быть изменен Покупателем путем направления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соответствующего уведомления в срок, обеспечивающий получение такого уведомления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не позднее чем за 15 дней до начала соответствующего месяца поставки.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Покупатель не уведомил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42" w:right="199" w:firstLine="425"/>
        <w:jc w:val="both"/>
        <w:spacing w:after="0" w:line="240" w:lineRule="auto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случае, если Покупатель является лицом, ответственным за снятие показаний расчетных приборов учета, п</w:t>
      </w:r>
      <w:r>
        <w:rPr>
          <w:rFonts w:ascii="Times New Roman" w:hAnsi="Times New Roman"/>
          <w:sz w:val="16"/>
          <w:szCs w:val="16"/>
        </w:rPr>
        <w:t xml:space="preserve">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показания расчетных приборов учета по установленной форме (Прило</w:t>
      </w:r>
      <w:r>
        <w:rPr>
          <w:rFonts w:ascii="Times New Roman" w:hAnsi="Times New Roman"/>
          <w:sz w:val="16"/>
          <w:szCs w:val="16"/>
        </w:rPr>
        <w:t xml:space="preserve">жение № 3), а также данные о почасовых объемах потребления (в случае выбора для ос</w:t>
      </w:r>
      <w:r>
        <w:rPr>
          <w:rFonts w:ascii="Times New Roman" w:hAnsi="Times New Roman"/>
          <w:sz w:val="16"/>
          <w:szCs w:val="16"/>
          <w:highlight w:val="white"/>
        </w:rPr>
        <w:t xml:space="preserve">уществления расчетов соответствующей ценовой категории, предполагающей почасовой учет (почасовое планирование и учет)) (Приложение № 3.1) по каждому энергоснабжаемому объекту</w:t>
      </w:r>
      <w:r>
        <w:rPr>
          <w:rFonts w:ascii="Times New Roman" w:hAnsi="Times New Roman"/>
          <w:sz w:val="16"/>
          <w:szCs w:val="16"/>
          <w:highlight w:val="white"/>
        </w:rPr>
        <w:t xml:space="preserve">, по приборам учета, фиксирующим потребление электрической энергии в нежилых помещениях многоквартирных жилых домов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объектах, технологически присоединённым к сетям жилого дома </w:t>
      </w:r>
      <w:r>
        <w:rPr>
          <w:rFonts w:ascii="Times New Roman" w:hAnsi="Times New Roman"/>
          <w:sz w:val="16"/>
          <w:szCs w:val="16"/>
          <w:highlight w:val="white"/>
        </w:rPr>
        <w:t xml:space="preserve">– ежемесячно, не позднее 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(оплачиваемого) месяца, в отношении иных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 до окончания 1-го дня месяца, следующего за расчетным периодом, а также дня, следующего за датой расторжения (заключения) Договора, по телефаксу, электронной почте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через официальный сайт Гарантирующего поставщика в разделе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«Личный кабинет»,</w:t>
      </w:r>
      <w:r>
        <w:rPr>
          <w:rFonts w:ascii="Times New Roman" w:hAnsi="Times New Roman"/>
          <w:sz w:val="16"/>
          <w:szCs w:val="16"/>
          <w:highlight w:val="white"/>
        </w:rPr>
        <w:t xml:space="preserve"> в виде электронного документа, подписанного электронной подписью,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любым иным способом, позволяющим подтвердить </w:t>
      </w:r>
      <w:r>
        <w:rPr>
          <w:rFonts w:ascii="Times New Roman" w:hAnsi="Times New Roman"/>
          <w:sz w:val="16"/>
          <w:szCs w:val="16"/>
          <w:highlight w:val="white"/>
        </w:rPr>
        <w:t xml:space="preserve">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в письменной форме в течение 3 рабочих дней</w:t>
      </w:r>
      <w:r>
        <w:rPr>
          <w:sz w:val="16"/>
          <w:szCs w:val="16"/>
          <w:highlight w:val="white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Покупатель снимает показания расчетных приборов учета,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установленных в отношении жилых домов </w:t>
      </w:r>
      <w:r>
        <w:rPr>
          <w:rFonts w:ascii="Times New Roman" w:hAnsi="Times New Roman"/>
          <w:sz w:val="16"/>
          <w:szCs w:val="16"/>
          <w:highlight w:val="white"/>
        </w:rPr>
        <w:t xml:space="preserve">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23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месяца по состоянию на 00 часов 00 минут, в отношении иных приборов учета снимает показания,</w:t>
      </w:r>
      <w:r>
        <w:rPr>
          <w:rFonts w:ascii="Times New Roman" w:hAnsi="Times New Roman"/>
          <w:sz w:val="16"/>
          <w:szCs w:val="16"/>
          <w:highlight w:val="white"/>
        </w:rPr>
        <w:t xml:space="preserve"> а также данные о</w:t>
      </w:r>
      <w:r>
        <w:rPr>
          <w:rFonts w:ascii="Times New Roman" w:hAnsi="Times New Roman"/>
          <w:sz w:val="16"/>
          <w:szCs w:val="16"/>
          <w:highlight w:val="white"/>
        </w:rPr>
        <w:t xml:space="preserve"> почасовых объемах потребления (в случае выбора для осуществления расчетов соответствующей ценовой категории, предполагающей почасовой учет (почасовое планирование и учет)) по состоянию на 00 часов 00 минут 1-го дня месяца, следующего за расчетным периодом</w:t>
      </w:r>
      <w:r>
        <w:rPr>
          <w:rFonts w:ascii="Times New Roman" w:hAnsi="Times New Roman"/>
          <w:sz w:val="16"/>
          <w:szCs w:val="16"/>
          <w:highlight w:val="white"/>
        </w:rPr>
        <w:t xml:space="preserve"> Пр</w:t>
      </w:r>
      <w:r>
        <w:rPr>
          <w:rFonts w:ascii="Times New Roman" w:hAnsi="Times New Roman"/>
          <w:sz w:val="16"/>
          <w:szCs w:val="16"/>
        </w:rPr>
        <w:t xml:space="preserve">и расторжении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(заключении) договора – на 00 часов 00 минут дня расторжения (заключения)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сроки и порядке, установленные абз. 1 и 2 настоящего пункта Договора Покупатель также обязуется снимать и предоставлять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 показания</w:t>
      </w:r>
      <w:r>
        <w:rPr>
          <w:rFonts w:ascii="Times New Roman" w:hAnsi="Times New Roman"/>
          <w:sz w:val="16"/>
          <w:szCs w:val="16"/>
        </w:rPr>
        <w:t xml:space="preserve"> (в том числе их почасовые значения)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</w:t>
      </w:r>
      <w:r>
        <w:rPr>
          <w:rFonts w:ascii="Times New Roman" w:hAnsi="Times New Roman"/>
          <w:sz w:val="16"/>
          <w:szCs w:val="16"/>
        </w:rPr>
        <w:t xml:space="preserve">й энергии (мощности), отпущенной в энергопринимающие устройства смежных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с доказательствами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Представлять</w:t>
      </w:r>
      <w:r>
        <w:rPr>
          <w:rFonts w:ascii="Times New Roman" w:hAnsi="Times New Roman"/>
          <w:sz w:val="16"/>
          <w:szCs w:val="16"/>
        </w:rPr>
        <w:t xml:space="preserve"> список лиц, имеющих право ведения оперативных переговоров, подписания ежемесячных актов снятия показаний расчетных приборов учета и иных актов, телефоны и факс для опера</w:t>
      </w:r>
      <w:r>
        <w:rPr>
          <w:rFonts w:ascii="Times New Roman" w:hAnsi="Times New Roman"/>
          <w:sz w:val="16"/>
          <w:szCs w:val="16"/>
        </w:rPr>
        <w:t xml:space="preserve">тивной связи (Приложение № 4 к Д</w:t>
      </w:r>
      <w:r>
        <w:rPr>
          <w:rFonts w:ascii="Times New Roman" w:hAnsi="Times New Roman"/>
          <w:sz w:val="16"/>
          <w:szCs w:val="16"/>
        </w:rPr>
        <w:t xml:space="preserve">оговору). Список должен содержать должности и фамилии уполномоченных лиц и их рабочие телефоны. Покупатель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Покупателем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. Покупатель,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Покупателем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Покупателя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Предоставлять Потребителю до начала исполнения Договора, в течение срока его действия, а также по запросу Потребителя информацию и документы из числа предусмотренных Основными положениями функционирования розничных </w:t>
      </w:r>
      <w:r>
        <w:rPr>
          <w:rFonts w:ascii="Times New Roman" w:hAnsi="Times New Roman"/>
          <w:sz w:val="16"/>
          <w:szCs w:val="16"/>
        </w:rPr>
        <w:t xml:space="preserve">рынков электрической энергии, подтверждающие факт наличия у Покупателя права распоряжения электрической энергией (мощностью), продажу которой он осуществляет Потребителю, как по срокам, так и по объемам продажи электрической энергии (мощности) Потребителю.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Запрошенная информация должна быть предоставлена Покупателем в письменной форме в течение 5 рабочих дней со дня получения запроса от Потребителя посредством ее направления по указанному в запросе адресу способом, подтверждающим ее получение.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Право распоряжения электрической энергией (мощностью)</w:t>
      </w:r>
      <w:r>
        <w:rPr>
          <w:rFonts w:ascii="Times New Roman" w:hAnsi="Times New Roman"/>
          <w:sz w:val="16"/>
          <w:szCs w:val="16"/>
        </w:rPr>
        <w:t xml:space="preserve"> считается прекращенным с даты и времени, когда Покупатель прекратил приобретение электрической энергии (мощности) по Договору в отношении точек поставки по заключенному с Потребителем договору, обеспечивающему продажу ему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Обеспечить наличие сведений о Потребителе, ограничение режима потребления которого может привести к экономическим, эк</w:t>
      </w:r>
      <w:r>
        <w:rPr>
          <w:rFonts w:ascii="Times New Roman" w:hAnsi="Times New Roman"/>
          <w:sz w:val="16"/>
          <w:szCs w:val="16"/>
        </w:rPr>
        <w:t xml:space="preserve">ологическим или социальным последствиям из числа указанных в Приложении к Правилам полного и (или) частичного ограничения режима потребления электрической энергии, в перечне потребителей, утверждаемом высшим должностным лицом субъекта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В отношении субабонентов, а также иных потребителей, энергопринимающие устройства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</w:t>
      </w:r>
      <w:r>
        <w:rPr>
          <w:rFonts w:ascii="Times New Roman" w:hAnsi="Times New Roman"/>
          <w:sz w:val="16"/>
          <w:szCs w:val="16"/>
        </w:rPr>
        <w:t xml:space="preserve">млять их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в порядке, установленном Правилами полного и (или) частичного ограничения режима потребления электрической энергии.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Сообщать об утрате Потребителем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на указанное в настоящем пункте энергопринимающее устройство и иное необходимое оборудование и несообщении об этом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, Покупатель обязуется оплачивать электрическую энергию до даты расторжения настоящего Договора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1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 по</w:t>
      </w:r>
      <w:r>
        <w:rPr>
          <w:rFonts w:ascii="Times New Roman" w:hAnsi="Times New Roman"/>
          <w:sz w:val="16"/>
          <w:szCs w:val="16"/>
        </w:rPr>
        <w:t xml:space="preserve">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п.8</w:t>
      </w:r>
      <w:r>
        <w:rPr>
          <w:rFonts w:ascii="Times New Roman" w:hAnsi="Times New Roman"/>
          <w:sz w:val="16"/>
          <w:szCs w:val="16"/>
        </w:rPr>
        <w:t xml:space="preserve">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Покупатель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Выбрать в случаях,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одностороннем порядке отказаться от исполнения Договора полностью с соблюдением порядка, предусмотренного п. 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1  </w:t>
      </w:r>
      <w:r>
        <w:rPr>
          <w:rFonts w:ascii="Times New Roman" w:hAnsi="Times New Roman"/>
          <w:sz w:val="16"/>
          <w:szCs w:val="16"/>
        </w:rPr>
        <w:t xml:space="preserve">настоящего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</w:t>
      </w:r>
      <w:r>
        <w:rPr>
          <w:rFonts w:ascii="Times New Roman" w:hAnsi="Times New Roman"/>
          <w:sz w:val="16"/>
          <w:szCs w:val="16"/>
        </w:rPr>
        <w:t xml:space="preserve">ости), а также в случаях, предусмотренных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</w:t>
      </w:r>
      <w:r>
        <w:rPr>
          <w:rFonts w:ascii="Times New Roman" w:hAnsi="Times New Roman"/>
          <w:sz w:val="16"/>
          <w:szCs w:val="16"/>
        </w:rPr>
        <w:t xml:space="preserve">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«______</w:t>
      </w:r>
      <w:r>
        <w:rPr>
          <w:rFonts w:ascii="Times New Roman" w:hAnsi="Times New Roman"/>
          <w:sz w:val="16"/>
          <w:szCs w:val="16"/>
        </w:rPr>
        <w:t xml:space="preserve">_______________</w:t>
      </w:r>
      <w:r>
        <w:rPr>
          <w:rFonts w:ascii="Times New Roman" w:hAnsi="Times New Roman"/>
          <w:sz w:val="16"/>
          <w:szCs w:val="16"/>
        </w:rPr>
        <w:t xml:space="preserve">_________».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</w:t>
      </w:r>
      <w:r>
        <w:rPr>
          <w:rFonts w:ascii="Times New Roman" w:hAnsi="Times New Roman"/>
          <w:sz w:val="16"/>
          <w:szCs w:val="16"/>
        </w:rPr>
        <w:t xml:space="preserve">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2.5.7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2.6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ind w:left="216" w:right="242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покупки электрической энергии (мощности), поставленной Гарантирующим поставщиком в точки поставки по настоящему Договору за расчетный период,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 № 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Замещающей информацией являются </w:t>
      </w:r>
      <w:r>
        <w:rPr>
          <w:rFonts w:ascii="Times New Roman" w:hAnsi="Times New Roman"/>
          <w:sz w:val="16"/>
          <w:szCs w:val="16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 </w:t>
      </w:r>
      <w:r>
        <w:rPr>
          <w:rFonts w:ascii="Times New Roman" w:hAnsi="Times New Roman"/>
          <w:sz w:val="16"/>
          <w:szCs w:val="16"/>
        </w:rPr>
        <w:t xml:space="preserve">Электроустановки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об</w:t>
      </w:r>
      <w:r>
        <w:rPr>
          <w:rFonts w:ascii="Times New Roman" w:hAnsi="Times New Roman"/>
          <w:sz w:val="16"/>
          <w:szCs w:val="16"/>
        </w:rPr>
        <w:t xml:space="preserve">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осущ</w:t>
      </w:r>
      <w:r>
        <w:rPr>
          <w:rFonts w:ascii="Times New Roman" w:hAnsi="Times New Roman"/>
          <w:sz w:val="16"/>
          <w:szCs w:val="16"/>
        </w:rPr>
        <w:t xml:space="preserve">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 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обеспечивает коммерческий учет электрической энергии (мощности) на розничных рынках в </w:t>
      </w:r>
      <w:r>
        <w:rPr>
          <w:rFonts w:ascii="Times New Roman" w:hAnsi="Times New Roman"/>
          <w:sz w:val="16"/>
          <w:szCs w:val="16"/>
        </w:rPr>
        <w:t xml:space="preserve">отношении расположенных в его зоне деятельности многоквартирных домов (за исключением помещений многоквартирных домов, электроснабжение которых осуществляется без использования общего имущества), включая установку коллективных (общедомовых) приборов учета </w:t>
      </w:r>
      <w:r>
        <w:rPr>
          <w:rFonts w:ascii="Times New Roman" w:hAnsi="Times New Roman"/>
          <w:sz w:val="16"/>
          <w:szCs w:val="16"/>
        </w:rPr>
        <w:t xml:space="preserve">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 в соответствии с О</w:t>
      </w:r>
      <w:r>
        <w:rPr>
          <w:rFonts w:ascii="Times New Roman" w:hAnsi="Times New Roman"/>
          <w:sz w:val="16"/>
          <w:szCs w:val="16"/>
        </w:rPr>
        <w:t xml:space="preserve">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 наличии), должны с</w:t>
      </w:r>
      <w:r>
        <w:rPr>
          <w:rFonts w:ascii="Times New Roman" w:hAnsi="Times New Roman"/>
          <w:sz w:val="16"/>
          <w:szCs w:val="16"/>
        </w:rPr>
        <w:t xml:space="preserve">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точности, быть допущен</w:t>
      </w:r>
      <w:r>
        <w:rPr>
          <w:rFonts w:ascii="Times New Roman" w:hAnsi="Times New Roman"/>
          <w:sz w:val="16"/>
          <w:szCs w:val="16"/>
        </w:rPr>
        <w:t xml:space="preserve">ными в эксплуатацию в установленном Основными положениями функционирования розничных рынков электрической энергии порядке,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си</w:t>
      </w:r>
      <w:r>
        <w:rPr>
          <w:rFonts w:ascii="Times New Roman" w:hAnsi="Times New Roman"/>
          <w:sz w:val="16"/>
          <w:szCs w:val="16"/>
        </w:rPr>
        <w:t xml:space="preserve">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п</w:t>
      </w:r>
      <w:r>
        <w:rPr>
          <w:rFonts w:ascii="Times New Roman" w:hAnsi="Times New Roman"/>
          <w:sz w:val="16"/>
          <w:szCs w:val="16"/>
        </w:rPr>
        <w:t xml:space="preserve">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</w:t>
      </w:r>
      <w:r>
        <w:rPr>
          <w:rFonts w:ascii="Times New Roman" w:hAnsi="Times New Roman"/>
          <w:sz w:val="16"/>
          <w:szCs w:val="16"/>
        </w:rPr>
        <w:t xml:space="preserve">чета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Приложении №.2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Покупат</w:t>
      </w:r>
      <w:r>
        <w:rPr>
          <w:rFonts w:ascii="Times New Roman" w:hAnsi="Times New Roman"/>
          <w:sz w:val="16"/>
          <w:szCs w:val="16"/>
        </w:rPr>
        <w:t xml:space="preserve">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тех</w:t>
      </w:r>
      <w:r>
        <w:rPr>
          <w:rFonts w:ascii="Times New Roman" w:hAnsi="Times New Roman"/>
          <w:sz w:val="16"/>
          <w:szCs w:val="16"/>
        </w:rPr>
        <w:t xml:space="preserve">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его утрате лиц</w:t>
      </w:r>
      <w:r>
        <w:rPr>
          <w:rFonts w:ascii="Times New Roman" w:hAnsi="Times New Roman"/>
          <w:sz w:val="16"/>
          <w:szCs w:val="16"/>
        </w:rPr>
        <w:t xml:space="preserve">ом, являющимся собственником расчетного прибора учета (Покупателем, 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прибора(ов) учета и (или) иного оборудования, используемого для обеспечения коммерческого учета электрической энергии (мощности) на </w:t>
      </w:r>
      <w:r>
        <w:rPr>
          <w:rFonts w:ascii="Times New Roman" w:hAnsi="Times New Roman"/>
          <w:sz w:val="16"/>
          <w:szCs w:val="16"/>
        </w:rPr>
        <w:t xml:space="preserve">энергоснабжаемом</w:t>
      </w:r>
      <w:r>
        <w:rPr>
          <w:rFonts w:ascii="Times New Roman" w:hAnsi="Times New Roman"/>
          <w:sz w:val="16"/>
          <w:szCs w:val="16"/>
        </w:rPr>
        <w:t xml:space="preserve">(</w:t>
      </w:r>
      <w:r>
        <w:rPr>
          <w:rFonts w:ascii="Times New Roman" w:hAnsi="Times New Roman"/>
          <w:sz w:val="16"/>
          <w:szCs w:val="16"/>
        </w:rPr>
        <w:t xml:space="preserve">ых</w:t>
      </w:r>
      <w:r>
        <w:rPr>
          <w:rFonts w:ascii="Times New Roman" w:hAnsi="Times New Roman"/>
          <w:sz w:val="16"/>
          <w:szCs w:val="16"/>
        </w:rPr>
        <w:t xml:space="preserve">) объекте(ах) Покупателя,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</w:t>
      </w:r>
      <w:r>
        <w:rPr>
          <w:rFonts w:ascii="Times New Roman" w:hAnsi="Times New Roman"/>
          <w:sz w:val="16"/>
          <w:szCs w:val="16"/>
          <w:highlight w:val="white"/>
        </w:rPr>
        <w:t xml:space="preserve">9</w:t>
      </w:r>
      <w:r>
        <w:rPr>
          <w:rFonts w:ascii="Times New Roman" w:hAnsi="Times New Roman"/>
          <w:sz w:val="16"/>
          <w:szCs w:val="16"/>
          <w:highlight w:val="white"/>
        </w:rPr>
        <w:t xml:space="preserve">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Покупателем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Стоимость электрической энергии (мощности) по настоящему Договору не включает стоимость услуг по передаче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Покупателя платежный документ, содержащий плату в размере стоимости электрической энергии (мощности) в подлежащем оплате объеме покупки</w:t>
      </w:r>
      <w:r>
        <w:rPr>
          <w:rFonts w:ascii="Times New Roman" w:hAnsi="Times New Roman"/>
          <w:sz w:val="16"/>
          <w:szCs w:val="16"/>
        </w:rPr>
        <w:t xml:space="preserve"> в месяце, следующем за месяцем выставления платежного документа. Покупатель обязан производить оплату в размере стоимости электрической энергии (мощности) в подлежащем оплате объеме покупки в месяце в срок до 1-го числа расчетного (оплачиваемого) месяца.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Покупателя платежный документ, 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Сумма платежного документа уменьшается на сумму внесенных Покупателем средств в срок до 1-го числа оплачиваемого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электрической энергии (мощности) в месяце, за который осуществляется </w:t>
      </w:r>
      <w:r>
        <w:rPr>
          <w:rFonts w:ascii="Times New Roman" w:hAnsi="Times New Roman"/>
          <w:sz w:val="16"/>
          <w:szCs w:val="16"/>
        </w:rPr>
        <w:t xml:space="preserve">оплата, за вычетом средств, ранее внесенных Покупателем в качестве оплаты электрической энергии (мощности) в соответствии с п. 4.2 настоящего Договора, оплачивается Покупателем до 18-го числа месяца, следующего за месяцем, за который осуществляется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</w:t>
      </w:r>
      <w:r>
        <w:rPr>
          <w:rFonts w:ascii="Times New Roman" w:hAnsi="Times New Roman"/>
          <w:sz w:val="16"/>
          <w:szCs w:val="16"/>
        </w:rPr>
        <w:t xml:space="preserve">счетов. Гарантирующий поставщик</w:t>
      </w:r>
      <w:r>
        <w:rPr>
          <w:rFonts w:ascii="Times New Roman" w:hAnsi="Times New Roman"/>
          <w:sz w:val="16"/>
          <w:szCs w:val="16"/>
        </w:rPr>
        <w:t xml:space="preserve"> уведомляет Покупателя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Покупателя к указанному сроку, акт сверки составляетс</w:t>
      </w:r>
      <w:r>
        <w:rPr>
          <w:rFonts w:ascii="Times New Roman" w:hAnsi="Times New Roman"/>
          <w:sz w:val="16"/>
          <w:szCs w:val="16"/>
        </w:rPr>
        <w:t xml:space="preserve">я на основании данных Гарантирующего поставщика. О результатах проведенной сверки расчетов Покупатель уведомляется. При непоступлении от Покупателя в течение 10 дней после уведомления возражений к акту сверки расчетов, акт считается признанным Покупателем.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 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</w:r>
    </w:p>
    <w:p>
      <w:pPr>
        <w:ind w:left="216" w:right="240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При просрочке оплаты Покупатель уплачивает Гарантирующему поставщику </w:t>
      </w:r>
      <w:r>
        <w:rPr>
          <w:rFonts w:ascii="Times New Roman" w:hAnsi="Times New Roman"/>
          <w:sz w:val="16"/>
          <w:szCs w:val="16"/>
        </w:rPr>
        <w:t xml:space="preserve">неустойку в виде пени в размере и порядке, установленным действующим законодательством</w:t>
      </w:r>
      <w:r>
        <w:rPr>
          <w:rFonts w:ascii="Times New Roman" w:hAnsi="Times New Roman"/>
          <w:sz w:val="16"/>
          <w:szCs w:val="16"/>
        </w:rPr>
        <w:t xml:space="preserve">. Начисление неустойки производится до момента погашения задолженности, в том числе в соответствии с п. 4.2 и п. 4.4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За неоказание или ненадлежащее оказание услуг по передаче электрической энергии ответственность перед Покупателем (Потребителем) несет оказывающая такие услуги сетевая организация.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За неправомерное нарушение условий поставки, в том числе надежности электроснабжения и каче</w:t>
      </w:r>
      <w:r>
        <w:rPr>
          <w:rFonts w:ascii="Times New Roman" w:hAnsi="Times New Roman"/>
          <w:sz w:val="16"/>
          <w:szCs w:val="16"/>
        </w:rPr>
        <w:t xml:space="preserve">ства электрической энергии при условии, что такое нарушение не обусловлено неоказанием или ненадлежащим оказанием услуг по передаче электрической энергии сетевой организацией, Гарантирующий поставщик обязан возместить Покупателю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5.6. Гарантирующий поставщик не несет имущественной ответственности перед Покупателем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энергии, предусмотренными Правилами полного и (или) частичного ограничения режима потребления электрической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5.7. Гарантирующий поставщик не несет имущ</w:t>
      </w:r>
      <w:r>
        <w:rPr>
          <w:rFonts w:ascii="Times New Roman" w:hAnsi="Times New Roman"/>
          <w:sz w:val="16"/>
          <w:szCs w:val="16"/>
        </w:rPr>
        <w:t xml:space="preserve">ественной ответственности перед Покупателем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5.8. Гарантирующий поставщик не несет имущественной ответственности перед Покупателем за отпуск электроэнергии повышенного и</w:t>
      </w:r>
      <w:r>
        <w:rPr>
          <w:rFonts w:ascii="Times New Roman" w:hAnsi="Times New Roman"/>
          <w:sz w:val="16"/>
          <w:szCs w:val="16"/>
        </w:rPr>
        <w:t xml:space="preserve">ли пониженного уровня напряжения против пределов, указанных в Договоре, если Потребитель не выдерживает заданные Гарантирующим поставщиком или сетевой организацией оптимальные значения реактивной энергии (мощности) и режимы работы компенсирующих установок.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5.9.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5.10. В случае введения ограничения режима потребления энергии (мощности) по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5.11. За повреждение или срыв печати (пломбы) Покупатель уплачивает Гарантирующему поставщику штраф в размере 5 МРОТ.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5.12.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188" w:leader="none"/>
          <w:tab w:val="left" w:pos="1243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5.1.13. По</w:t>
      </w:r>
      <w:r>
        <w:rPr>
          <w:rFonts w:ascii="Times New Roman" w:hAnsi="Times New Roman"/>
          <w:sz w:val="16"/>
          <w:szCs w:val="16"/>
        </w:rPr>
        <w:t xml:space="preserve">купатель за отказ самостоятельно произвести ограничение режима потребления путем отключения энергетических устройств Потребителя со дня, следующего за днем, когда Потребитель (Покупатель) должен был самостоятельно произвести ограничение режима потребления,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оплачивает штрафную неустойку равную четырехкрат</w:t>
      </w:r>
      <w:r>
        <w:rPr>
          <w:rFonts w:ascii="Times New Roman" w:hAnsi="Times New Roman"/>
          <w:sz w:val="16"/>
          <w:szCs w:val="16"/>
        </w:rPr>
        <w:t xml:space="preserve">ному размеру стоимости энергии (мощности), использованной с нарушением Договора за весь срок действия Договора, но не более срока исковой давности, а также независимо от этого возмещает Гарантирующему поставщику причиненные убытки в форме реального ущерба.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Покупатель также несет ответственность за отказ от доступа представителей Гарантирующего поставщика и/или сетевой организации при ограничении (самостоя</w:t>
      </w:r>
      <w:r>
        <w:rPr>
          <w:rFonts w:ascii="Times New Roman" w:hAnsi="Times New Roman"/>
          <w:sz w:val="16"/>
          <w:szCs w:val="16"/>
        </w:rPr>
        <w:t xml:space="preserve">тельном ограничении) режима потребления в виде штрафа в размере однократной стоимости объема потребления электрической энергии за месяц, предшествующий месяцу, в котором имел место недопуск представителя Гарантирующего поставщика и/или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5.14. За действия Потребителя, связанные с обязанностями лица, потребляющего электрическую энергию, в том числе по с</w:t>
      </w:r>
      <w:r>
        <w:rPr>
          <w:rFonts w:ascii="Times New Roman" w:hAnsi="Times New Roman"/>
          <w:sz w:val="16"/>
          <w:szCs w:val="16"/>
        </w:rPr>
        <w:t xml:space="preserve">облюдению правил эксплуатации электроустановок потребителей, осуществлению учета электрической энергии, соблюдению условий и величин потребления электрической энергии, ответственность перед Гарантирующим поставщиком по настоящему Договору несет Покупатель.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5.15. Гарантирующий поставщик не несет ответственности перед Потребителем за действия Покупателя по энергоснабжению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0"/>
          <w:szCs w:val="10"/>
        </w:rPr>
      </w:r>
      <w:r>
        <w:rPr>
          <w:rFonts w:ascii="Arial" w:hAnsi="Arial" w:cs="Arial"/>
          <w:sz w:val="10"/>
          <w:szCs w:val="10"/>
        </w:rPr>
      </w:r>
    </w:p>
    <w:p>
      <w:pPr>
        <w:ind w:left="216" w:right="240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9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подписания и действует по ____________</w:t>
      </w:r>
      <w:r>
        <w:rPr>
          <w:sz w:val="16"/>
          <w:szCs w:val="16"/>
        </w:rPr>
        <w:t xml:space="preserve">20_</w:t>
      </w:r>
      <w:r>
        <w:rPr>
          <w:sz w:val="16"/>
          <w:szCs w:val="16"/>
        </w:rPr>
        <w:t xml:space="preserve">__ г.,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</w:t>
      </w:r>
      <w:r>
        <w:rPr>
          <w:sz w:val="16"/>
          <w:szCs w:val="16"/>
        </w:rPr>
        <w:t xml:space="preserve">Гарантирующего поставщика</w:t>
      </w:r>
      <w:r>
        <w:rPr>
          <w:sz w:val="16"/>
          <w:szCs w:val="16"/>
        </w:rPr>
        <w:t xml:space="preserve">.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Настоящий Договор считается продленным на каждый последующий календарный год на тех же условиях, если ни одна из Сторон </w:t>
      </w:r>
      <w:r>
        <w:rPr>
          <w:rFonts w:ascii="Times New Roman" w:hAnsi="Times New Roman"/>
          <w:sz w:val="16"/>
          <w:szCs w:val="16"/>
        </w:rPr>
        <w:t xml:space="preserve">не позднее 30 дней до окончания срока действия Договора не заявит о его прекращении или изменении либо о заключении нового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настоящему Договору осуществляется не ранее заключения Покупателем (Потребителем) договора оказания услуг по передаче элект</w:t>
      </w:r>
      <w:r>
        <w:rPr>
          <w:rFonts w:ascii="Times New Roman" w:hAnsi="Times New Roman"/>
          <w:sz w:val="16"/>
          <w:szCs w:val="16"/>
        </w:rPr>
        <w:t xml:space="preserve">рической энергии в отношении энергопринимающего устройства Потребителя, а также момента начала исполнения обязательств сетевой организацией по указанному договору и при условии исполнения Покупателем обязанности, установленной п. 2.3.2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</w:t>
      </w:r>
      <w:r>
        <w:rPr>
          <w:rFonts w:ascii="Times New Roman" w:hAnsi="Times New Roman"/>
          <w:sz w:val="16"/>
          <w:szCs w:val="16"/>
        </w:rPr>
        <w:t xml:space="preserve">_____________</w:t>
      </w:r>
      <w:r>
        <w:rPr>
          <w:rFonts w:ascii="Times New Roman" w:hAnsi="Times New Roman"/>
          <w:sz w:val="16"/>
          <w:szCs w:val="16"/>
        </w:rPr>
        <w:t xml:space="preserve"> 20</w:t>
      </w:r>
      <w:r>
        <w:rPr>
          <w:rFonts w:ascii="Times New Roman" w:hAnsi="Times New Roman"/>
          <w:sz w:val="16"/>
          <w:szCs w:val="16"/>
        </w:rPr>
        <w:t xml:space="preserve">___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отказа Потребителя от реализации своего права осуществить переход на обслуживание к Покупателю и если такой отказ получен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или Покупателем до момента заключения настоящего Договора, а также в случае нарушения Потребителем установленного порядка расторжения договора с Гарантирующим поставщиком (при нарушении Потребителем требования об уведом</w:t>
      </w:r>
      <w:r>
        <w:rPr>
          <w:rFonts w:ascii="Times New Roman" w:hAnsi="Times New Roman"/>
          <w:sz w:val="16"/>
          <w:szCs w:val="16"/>
        </w:rPr>
        <w:t xml:space="preserve">лении 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49 или 50 Основных положений функционирования розничных рынков электрической энергии), настоящий Договор не вступает в силу.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отсутствия договора (прекращения обязательств по договору) энергоснабжения (купли-продажи (поставки) электрической энергии) между Покупателем и Потребителем, в интересах которого Покупатель приобретает электрическую энергию по настоящему Договору;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2.2.2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утра</w:t>
      </w:r>
      <w:r>
        <w:rPr>
          <w:rFonts w:ascii="Times New Roman" w:hAnsi="Times New Roman"/>
          <w:sz w:val="16"/>
          <w:szCs w:val="16"/>
        </w:rPr>
        <w:t xml:space="preserve">тил право на энергопринимающее устройство или иное необходимое оборудование, Гарантирующий поставщик уведомляет Покупателя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</w:r>
    </w:p>
    <w:p>
      <w:pPr>
        <w:ind w:left="216" w:right="242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</w:t>
      </w:r>
      <w:r>
        <w:rPr>
          <w:rFonts w:ascii="Times New Roman" w:hAnsi="Times New Roman"/>
          <w:sz w:val="16"/>
          <w:szCs w:val="16"/>
        </w:rPr>
        <w:t xml:space="preserve">ений,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Покупателя посредством почтовой связи либо по истечении 5 календарных дней </w:t>
      </w:r>
      <w:r>
        <w:rPr>
          <w:rFonts w:ascii="Times New Roman" w:hAnsi="Times New Roman"/>
          <w:sz w:val="16"/>
          <w:szCs w:val="16"/>
        </w:rPr>
        <w:t xml:space="preserve">со дня направления претензии в адрес Покупателя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Покупателя по реквизитам, указанным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7.2.Порядок и основани</w:t>
      </w:r>
      <w:r>
        <w:rPr>
          <w:rFonts w:ascii="Times New Roman" w:hAnsi="Times New Roman"/>
          <w:sz w:val="16"/>
          <w:szCs w:val="16"/>
        </w:rPr>
        <w:t xml:space="preserve">я введения ограничения режима потребления электрической энергии (мощности), а также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</w:t>
      </w:r>
      <w:r>
        <w:rPr>
          <w:rFonts w:ascii="Times New Roman" w:hAnsi="Times New Roman"/>
          <w:sz w:val="16"/>
          <w:szCs w:val="16"/>
        </w:rPr>
        <w:t xml:space="preserve">рони и (или) ограничение режима потребления электрической энергии которого может привести к экономическим, экологическим или социальным последствиям, устанавливается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 настоящего Договора, Приложении 4 к Договору;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 настоящего Договора, Приложении 4 к Договору;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включения текста уведомления в счет на оплату потребленной электрической энергии (мощности), выставляемый Потребителю;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считается полученным в день доставки смс-сообщения, или сообщения, направленного по адресу электронной почты, или уведомления, направленного </w:t>
      </w:r>
      <w:r>
        <w:rPr>
          <w:rFonts w:ascii="Times New Roman" w:hAnsi="Times New Roman"/>
          <w:sz w:val="16"/>
          <w:szCs w:val="16"/>
        </w:rPr>
        <w:t xml:space="preserve">по телекоммуникационным каналам связи в электронной форме,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7.4.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296" w:leader="none"/>
          <w:tab w:val="left" w:pos="1656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</w:t>
      </w:r>
      <w:r>
        <w:rPr>
          <w:rFonts w:ascii="Times New Roman" w:hAnsi="Times New Roman"/>
          <w:sz w:val="16"/>
          <w:szCs w:val="16"/>
        </w:rPr>
        <w:t xml:space="preserve">) в рамках исполнения Сторонами условий Договора Гарантирующий поставщик вправе направлять посредством электронной почты, направления телефонограммы, факсимильных сообщений смс-, ммс-сообщений на телефонные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7.5. Стороны договорились, что адрес электронной почты, указанный в п. 8.2. настоящего Договора используется для подключения к личному кабинету на сайте http://www.omesc.ru.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</w:t>
      </w:r>
      <w:r>
        <w:rPr>
          <w:rFonts w:ascii="Times New Roman" w:hAnsi="Times New Roman"/>
          <w:sz w:val="16"/>
          <w:szCs w:val="16"/>
        </w:rPr>
        <w:t xml:space="preserve">. Настоящий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</w:r>
    </w:p>
    <w:p>
      <w:pPr>
        <w:ind w:left="216" w:right="242" w:firstLine="426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</w:t>
      </w:r>
      <w:r>
        <w:rPr>
          <w:rFonts w:ascii="Times New Roman" w:hAnsi="Times New Roman"/>
          <w:b/>
          <w:bCs/>
          <w:sz w:val="16"/>
          <w:szCs w:val="16"/>
        </w:rPr>
        <w:t xml:space="preserve">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8.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Покупатель: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</w:r>
      <w:r>
        <w:rPr>
          <w:rFonts w:ascii="Times New Roman" w:hAnsi="Times New Roman"/>
          <w:bCs/>
          <w:sz w:val="16"/>
          <w:szCs w:val="16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sz w:val="24"/>
          <w:szCs w:val="24"/>
          <w:highlight w:val="white"/>
          <w:u w:val="single"/>
        </w:rPr>
      </w:r>
      <w:r>
        <w:rPr>
          <w:rFonts w:ascii="Arial" w:hAnsi="Arial" w:cs="Arial"/>
          <w:sz w:val="24"/>
          <w:szCs w:val="24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  <w:u w:val="single"/>
        </w:rPr>
      </w:r>
      <w:r>
        <w:rPr>
          <w:rFonts w:ascii="Arial" w:hAnsi="Arial" w:cs="Arial"/>
          <w:sz w:val="24"/>
          <w:szCs w:val="24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Адрес эл. почты: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смс-сообщений:_______________________________________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 –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 факс-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</w:t>
      </w:r>
      <w:r>
        <w:rPr>
          <w:rFonts w:ascii="Times New Roman" w:hAnsi="Times New Roman"/>
          <w:sz w:val="16"/>
          <w:szCs w:val="16"/>
        </w:rPr>
        <w:t xml:space="preserve">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</w:r>
      <w:r>
        <w:rPr>
          <w:rFonts w:ascii="Arial" w:hAnsi="Arial" w:cs="Arial"/>
          <w:sz w:val="6"/>
          <w:szCs w:val="6"/>
        </w:rPr>
      </w:r>
      <w:r>
        <w:rPr>
          <w:rFonts w:ascii="Arial" w:hAnsi="Arial" w:cs="Arial"/>
          <w:sz w:val="6"/>
          <w:szCs w:val="6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Покупатель: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</w:t>
      </w:r>
      <w:r>
        <w:rPr>
          <w:rFonts w:ascii="Times New Roman" w:hAnsi="Times New Roman"/>
          <w:sz w:val="14"/>
          <w:szCs w:val="14"/>
        </w:rPr>
        <w:t xml:space="preserve">__________________</w:t>
      </w:r>
      <w:r>
        <w:rPr>
          <w:rFonts w:ascii="Times New Roman" w:hAnsi="Times New Roman"/>
          <w:sz w:val="14"/>
          <w:szCs w:val="14"/>
        </w:rPr>
        <w:t xml:space="preserve">  т. </w:t>
      </w:r>
      <w:bookmarkStart w:id="1" w:name="page_total_master0"/>
      <w:r/>
      <w:bookmarkStart w:id="2" w:name="page_total"/>
      <w:r/>
      <w:bookmarkEnd w:id="1"/>
      <w:r/>
      <w:bookmarkEnd w:id="2"/>
      <w:r>
        <w:rPr>
          <w:rFonts w:ascii="Times New Roman" w:hAnsi="Times New Roman"/>
          <w:sz w:val="14"/>
          <w:szCs w:val="14"/>
        </w:rPr>
        <w:t xml:space="preserve">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80" w:header="426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8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от __</w:t>
    </w:r>
    <w:r>
      <w:rPr>
        <w:rFonts w:ascii="Times New Roman" w:hAnsi="Times New Roman"/>
        <w:sz w:val="16"/>
      </w:rPr>
      <w:t xml:space="preserve">_._</w:t>
    </w:r>
    <w:r>
      <w:rPr>
        <w:rFonts w:ascii="Times New Roman" w:hAnsi="Times New Roman"/>
        <w:sz w:val="16"/>
      </w:rPr>
      <w:t xml:space="preserve">__.202</w:t>
    </w:r>
    <w:r>
      <w:rPr>
        <w:rFonts w:ascii="Times New Roman" w:hAnsi="Times New Roman"/>
        <w:sz w:val="16"/>
      </w:rPr>
      <w:t xml:space="preserve">4</w:t>
    </w:r>
    <w:r>
      <w:rPr>
        <w:rFonts w:ascii="Times New Roman" w:hAnsi="Times New Roman"/>
        <w:sz w:val="16"/>
      </w:rPr>
      <w:t xml:space="preserve"> № 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widowControl w:val="off"/>
      <w:rPr>
        <w:rFonts w:ascii="Arial" w:hAnsi="Arial" w:cs="Arial"/>
        <w:sz w:val="24"/>
        <w:szCs w:val="24"/>
        <w:highlight w:val="white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Д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-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1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84</w:t>
    </w:r>
    <w:r>
      <w:rPr>
        <w:rFonts w:ascii="Arial" w:hAnsi="Arial" w:cs="Arial"/>
        <w:sz w:val="24"/>
        <w:szCs w:val="24"/>
        <w:highlight w:val="white"/>
      </w:rPr>
    </w:r>
    <w:r>
      <w:rPr>
        <w:rFonts w:ascii="Arial" w:hAnsi="Arial" w:cs="Arial"/>
        <w:sz w:val="24"/>
        <w:szCs w:val="24"/>
        <w:highlight w:val="whit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1"/>
    <w:next w:val="901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basedOn w:val="902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1"/>
    <w:next w:val="901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basedOn w:val="902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1"/>
    <w:next w:val="901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basedOn w:val="902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1"/>
    <w:next w:val="901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basedOn w:val="902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1"/>
    <w:next w:val="901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basedOn w:val="902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1"/>
    <w:next w:val="901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basedOn w:val="902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1"/>
    <w:next w:val="901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902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1"/>
    <w:next w:val="901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902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1"/>
    <w:next w:val="901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902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before="0" w:after="0" w:line="240" w:lineRule="auto"/>
    </w:pPr>
  </w:style>
  <w:style w:type="paragraph" w:styleId="745">
    <w:name w:val="Title"/>
    <w:basedOn w:val="901"/>
    <w:next w:val="901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basedOn w:val="902"/>
    <w:link w:val="745"/>
    <w:uiPriority w:val="10"/>
    <w:rPr>
      <w:sz w:val="48"/>
      <w:szCs w:val="48"/>
    </w:rPr>
  </w:style>
  <w:style w:type="paragraph" w:styleId="747">
    <w:name w:val="Subtitle"/>
    <w:basedOn w:val="901"/>
    <w:next w:val="901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902"/>
    <w:link w:val="747"/>
    <w:uiPriority w:val="11"/>
    <w:rPr>
      <w:sz w:val="24"/>
      <w:szCs w:val="24"/>
    </w:rPr>
  </w:style>
  <w:style w:type="paragraph" w:styleId="749">
    <w:name w:val="Quote"/>
    <w:basedOn w:val="901"/>
    <w:next w:val="901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901"/>
    <w:next w:val="901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902"/>
    <w:link w:val="905"/>
    <w:uiPriority w:val="99"/>
  </w:style>
  <w:style w:type="character" w:styleId="754">
    <w:name w:val="Footer Char"/>
    <w:basedOn w:val="902"/>
    <w:link w:val="907"/>
    <w:uiPriority w:val="99"/>
  </w:style>
  <w:style w:type="paragraph" w:styleId="755">
    <w:name w:val="Caption"/>
    <w:basedOn w:val="901"/>
    <w:next w:val="9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907"/>
    <w:uiPriority w:val="99"/>
  </w:style>
  <w:style w:type="table" w:styleId="757">
    <w:name w:val="Table Grid"/>
    <w:basedOn w:val="9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7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8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9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0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1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2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1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5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paragraph" w:styleId="884">
    <w:name w:val="footnote text"/>
    <w:basedOn w:val="901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>
    <w:name w:val="Footnote Text Char"/>
    <w:link w:val="884"/>
    <w:uiPriority w:val="99"/>
    <w:rPr>
      <w:sz w:val="18"/>
    </w:rPr>
  </w:style>
  <w:style w:type="character" w:styleId="886">
    <w:name w:val="footnote reference"/>
    <w:basedOn w:val="902"/>
    <w:uiPriority w:val="99"/>
    <w:unhideWhenUsed/>
    <w:rPr>
      <w:vertAlign w:val="superscript"/>
    </w:rPr>
  </w:style>
  <w:style w:type="paragraph" w:styleId="887">
    <w:name w:val="endnote text"/>
    <w:basedOn w:val="901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>
    <w:name w:val="Endnote Text Char"/>
    <w:link w:val="887"/>
    <w:uiPriority w:val="99"/>
    <w:rPr>
      <w:sz w:val="20"/>
    </w:rPr>
  </w:style>
  <w:style w:type="character" w:styleId="889">
    <w:name w:val="endnote reference"/>
    <w:basedOn w:val="902"/>
    <w:uiPriority w:val="99"/>
    <w:semiHidden/>
    <w:unhideWhenUsed/>
    <w:rPr>
      <w:vertAlign w:val="superscript"/>
    </w:rPr>
  </w:style>
  <w:style w:type="paragraph" w:styleId="890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1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2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3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4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5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6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7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8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901" w:default="1">
    <w:name w:val="Normal"/>
    <w:qFormat/>
  </w:style>
  <w:style w:type="character" w:styleId="902" w:default="1">
    <w:name w:val="Default Paragraph Font"/>
    <w:uiPriority w:val="1"/>
    <w:semiHidden/>
    <w:unhideWhenUsed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paragraph" w:styleId="905">
    <w:name w:val="Header"/>
    <w:basedOn w:val="901"/>
    <w:link w:val="90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902"/>
    <w:link w:val="905"/>
    <w:uiPriority w:val="99"/>
    <w:rPr>
      <w:rFonts w:cs="Times New Roman"/>
    </w:rPr>
  </w:style>
  <w:style w:type="paragraph" w:styleId="907">
    <w:name w:val="Footer"/>
    <w:basedOn w:val="901"/>
    <w:link w:val="9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902"/>
    <w:link w:val="907"/>
    <w:uiPriority w:val="99"/>
    <w:rPr>
      <w:rFonts w:cs="Times New Roman"/>
    </w:rPr>
  </w:style>
  <w:style w:type="paragraph" w:styleId="909">
    <w:name w:val="List Paragraph"/>
    <w:basedOn w:val="90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10">
    <w:name w:val="Balloon Text"/>
    <w:basedOn w:val="901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2"/>
    <w:link w:val="91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8</cp:revision>
  <dcterms:created xsi:type="dcterms:W3CDTF">2024-10-26T05:20:00Z</dcterms:created>
  <dcterms:modified xsi:type="dcterms:W3CDTF">2024-11-01T08:19:19Z</dcterms:modified>
</cp:coreProperties>
</file>