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200" w:firstLine="720"/>
        <w:shd w:val="clear" w:color="auto" w:fill="auto"/>
        <w:rPr>
          <w:rFonts w:ascii="Liberation Serif" w:hAnsi="Liberation Serif" w:cs="Liberation Serif"/>
          <w:sz w:val="16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16"/>
          <w:szCs w:val="22"/>
          <w:highlight w:val="none"/>
        </w:rPr>
        <w:t xml:space="preserve">Приложение № 1</w:t>
      </w:r>
      <w:r>
        <w:rPr>
          <w:rFonts w:ascii="Liberation Serif" w:hAnsi="Liberation Serif" w:eastAsia="Liberation Serif" w:cs="Liberation Serif"/>
          <w:sz w:val="16"/>
          <w:szCs w:val="22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16"/>
          <w:szCs w:val="22"/>
          <w:highlight w:val="none"/>
        </w:rPr>
        <w:t xml:space="preserve">к приказу </w:t>
      </w:r>
      <w:r>
        <w:rPr>
          <w:rFonts w:ascii="Liberation Serif" w:hAnsi="Liberation Serif" w:cs="Liberation Serif"/>
          <w:sz w:val="16"/>
          <w:szCs w:val="22"/>
          <w:highlight w:val="none"/>
        </w:rPr>
      </w:r>
      <w:r>
        <w:rPr>
          <w:rFonts w:ascii="Liberation Serif" w:hAnsi="Liberation Serif" w:cs="Liberation Serif"/>
          <w:sz w:val="16"/>
          <w:szCs w:val="22"/>
          <w:highlight w:val="none"/>
        </w:rPr>
      </w:r>
    </w:p>
    <w:p>
      <w:pPr>
        <w:ind w:left="7920"/>
        <w:shd w:val="clear" w:color="auto" w:fill="auto"/>
        <w:rPr>
          <w:rFonts w:ascii="Liberation Serif" w:hAnsi="Liberation Serif" w:cs="Liberation Serif"/>
          <w:sz w:val="16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16"/>
          <w:szCs w:val="22"/>
          <w:highlight w:val="none"/>
        </w:rPr>
        <w:t xml:space="preserve">ОО</w:t>
      </w:r>
      <w:r>
        <w:rPr>
          <w:rFonts w:ascii="Liberation Serif" w:hAnsi="Liberation Serif" w:eastAsia="Liberation Serif" w:cs="Liberation Serif"/>
          <w:sz w:val="16"/>
          <w:szCs w:val="22"/>
          <w:highlight w:val="none"/>
        </w:rPr>
        <w:t xml:space="preserve">О «</w:t>
      </w:r>
      <w:r>
        <w:rPr>
          <w:rFonts w:ascii="Liberation Serif" w:hAnsi="Liberation Serif" w:eastAsia="Liberation Serif" w:cs="Liberation Serif"/>
          <w:sz w:val="16"/>
          <w:szCs w:val="22"/>
          <w:highlight w:val="none"/>
        </w:rPr>
        <w:t xml:space="preserve">ОЭК</w:t>
      </w:r>
      <w:r>
        <w:rPr>
          <w:rFonts w:ascii="Liberation Serif" w:hAnsi="Liberation Serif" w:eastAsia="Liberation Serif" w:cs="Liberation Serif"/>
          <w:sz w:val="16"/>
          <w:szCs w:val="22"/>
          <w:highlight w:val="none"/>
        </w:rPr>
        <w:t xml:space="preserve">»</w:t>
      </w:r>
      <w:r>
        <w:rPr>
          <w:rFonts w:ascii="Liberation Serif" w:hAnsi="Liberation Serif" w:cs="Liberation Serif"/>
          <w:sz w:val="16"/>
          <w:szCs w:val="22"/>
          <w:highlight w:val="none"/>
        </w:rPr>
      </w:r>
      <w:r>
        <w:rPr>
          <w:rFonts w:ascii="Liberation Serif" w:hAnsi="Liberation Serif" w:cs="Liberation Serif"/>
          <w:sz w:val="16"/>
          <w:szCs w:val="22"/>
          <w:highlight w:val="none"/>
        </w:rPr>
      </w:r>
    </w:p>
    <w:p>
      <w:pPr>
        <w:ind w:left="7200" w:firstLine="720"/>
        <w:shd w:val="clear" w:color="auto" w:fill="auto"/>
        <w:rPr>
          <w:rFonts w:ascii="Liberation Serif" w:hAnsi="Liberation Serif" w:cs="Liberation Serif"/>
          <w:sz w:val="16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16"/>
          <w:szCs w:val="22"/>
          <w:highlight w:val="none"/>
        </w:rPr>
        <w:t xml:space="preserve">от</w:t>
      </w:r>
      <w:r>
        <w:rPr>
          <w:rFonts w:ascii="Liberation Serif" w:hAnsi="Liberation Serif" w:eastAsia="Liberation Serif" w:cs="Liberation Serif"/>
          <w:sz w:val="16"/>
          <w:szCs w:val="22"/>
          <w:highlight w:val="none"/>
        </w:rPr>
        <w:t xml:space="preserve"> __________</w:t>
      </w:r>
      <w:r>
        <w:rPr>
          <w:rFonts w:ascii="Liberation Serif" w:hAnsi="Liberation Serif" w:eastAsia="Liberation Serif" w:cs="Liberation Serif"/>
          <w:sz w:val="16"/>
          <w:szCs w:val="22"/>
          <w:highlight w:val="none"/>
        </w:rPr>
        <w:t xml:space="preserve"> № ______</w:t>
      </w:r>
      <w:bookmarkStart w:id="0" w:name="_GoBack"/>
      <w:r>
        <w:rPr>
          <w:rFonts w:ascii="Liberation Serif" w:hAnsi="Liberation Serif" w:eastAsia="Liberation Serif" w:cs="Liberation Serif"/>
          <w:highlight w:val="none"/>
        </w:rPr>
      </w:r>
      <w:bookmarkEnd w:id="0"/>
      <w:r>
        <w:rPr>
          <w:rFonts w:ascii="Liberation Serif" w:hAnsi="Liberation Serif" w:cs="Liberation Serif"/>
          <w:sz w:val="16"/>
          <w:szCs w:val="22"/>
          <w:highlight w:val="none"/>
        </w:rPr>
      </w:r>
      <w:r>
        <w:rPr>
          <w:rFonts w:ascii="Liberation Serif" w:hAnsi="Liberation Serif" w:cs="Liberation Serif"/>
          <w:sz w:val="16"/>
          <w:szCs w:val="22"/>
          <w:highlight w:val="none"/>
        </w:rPr>
      </w:r>
    </w:p>
    <w:p>
      <w:pPr>
        <w:jc w:val="right"/>
        <w:shd w:val="clear" w:color="auto" w:fill="auto"/>
        <w:rPr>
          <w:rFonts w:ascii="Liberation Serif" w:hAnsi="Liberation Serif" w:cs="Liberation Serif"/>
          <w:b/>
          <w:sz w:val="2"/>
          <w:szCs w:val="22"/>
          <w:highlight w:val="none"/>
        </w:rPr>
      </w:pPr>
      <w:r>
        <w:rPr>
          <w:rFonts w:ascii="Liberation Serif" w:hAnsi="Liberation Serif" w:eastAsia="Liberation Serif" w:cs="Liberation Serif"/>
          <w:b/>
          <w:sz w:val="2"/>
          <w:szCs w:val="22"/>
          <w:highlight w:val="none"/>
        </w:rPr>
      </w:r>
      <w:r>
        <w:rPr>
          <w:rFonts w:ascii="Liberation Serif" w:hAnsi="Liberation Serif" w:cs="Liberation Serif"/>
          <w:b/>
          <w:sz w:val="2"/>
          <w:szCs w:val="22"/>
          <w:highlight w:val="none"/>
        </w:rPr>
      </w:r>
      <w:r>
        <w:rPr>
          <w:rFonts w:ascii="Liberation Serif" w:hAnsi="Liberation Serif" w:cs="Liberation Serif"/>
          <w:b/>
          <w:sz w:val="2"/>
          <w:szCs w:val="22"/>
          <w:highlight w:val="none"/>
        </w:rPr>
      </w:r>
    </w:p>
    <w:p>
      <w:pPr>
        <w:pStyle w:val="897"/>
        <w:shd w:val="clear" w:color="auto" w:fill="auto"/>
        <w:rPr>
          <w:rFonts w:ascii="Liberation Serif" w:hAnsi="Liberation Serif" w:cs="Liberation Serif"/>
          <w:sz w:val="20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ПЕРЕЧЕНЬ СВЕДЕНИЙ И ДОКУМЕНТОВ</w:t>
      </w:r>
      <w:r>
        <w:rPr>
          <w:rFonts w:ascii="Liberation Serif" w:hAnsi="Liberation Serif" w:cs="Liberation Serif"/>
          <w:sz w:val="20"/>
          <w:szCs w:val="22"/>
          <w:highlight w:val="none"/>
        </w:rPr>
      </w:r>
      <w:r>
        <w:rPr>
          <w:rFonts w:ascii="Liberation Serif" w:hAnsi="Liberation Serif" w:cs="Liberation Serif"/>
          <w:sz w:val="20"/>
          <w:szCs w:val="22"/>
          <w:highlight w:val="none"/>
        </w:rPr>
      </w:r>
    </w:p>
    <w:p>
      <w:pPr>
        <w:pStyle w:val="897"/>
        <w:shd w:val="clear" w:color="auto" w:fill="auto"/>
        <w:rPr>
          <w:rFonts w:ascii="Liberation Serif" w:hAnsi="Liberation Serif" w:cs="Liberation Serif"/>
          <w:sz w:val="20"/>
          <w:szCs w:val="22"/>
          <w:highlight w:val="none"/>
        </w:rPr>
      </w:pP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для заключения договора энергоснабжения</w:t>
      </w: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0"/>
          <w:szCs w:val="22"/>
          <w:highlight w:val="none"/>
        </w:rPr>
        <w:t xml:space="preserve">с потребителем электрической энергии</w:t>
      </w:r>
      <w:r>
        <w:rPr>
          <w:rFonts w:ascii="Liberation Serif" w:hAnsi="Liberation Serif" w:cs="Liberation Serif"/>
          <w:sz w:val="20"/>
          <w:szCs w:val="22"/>
          <w:highlight w:val="none"/>
        </w:rPr>
      </w:r>
      <w:r>
        <w:rPr>
          <w:rFonts w:ascii="Liberation Serif" w:hAnsi="Liberation Serif" w:cs="Liberation Serif"/>
          <w:sz w:val="20"/>
          <w:szCs w:val="22"/>
          <w:highlight w:val="none"/>
        </w:rPr>
      </w:r>
    </w:p>
    <w:tbl>
      <w:tblPr>
        <w:tblW w:w="11018" w:type="dxa"/>
        <w:tblInd w:w="-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1820"/>
        <w:gridCol w:w="1130"/>
        <w:gridCol w:w="260"/>
        <w:gridCol w:w="5231"/>
        <w:gridCol w:w="1667"/>
      </w:tblGrid>
      <w:tr>
        <w:tblPrEx/>
        <w:trPr>
          <w:cantSplit/>
          <w:trHeight w:val="193"/>
        </w:trPr>
        <w:tc>
          <w:tcPr>
            <w:tcW w:w="910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highlight w:val="none"/>
                <w:lang w:val="ru-RU" w:eastAsia="ru-RU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</w:p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sz w:val="14"/>
                <w:highlight w:val="none"/>
                <w:lang w:val="ru-RU" w:eastAsia="ru-RU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</w:p>
        </w:tc>
        <w:tc>
          <w:tcPr>
            <w:gridSpan w:val="4"/>
            <w:tcW w:w="8441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highlight w:val="none"/>
                <w:lang w:val="ru-RU" w:eastAsia="ru-RU"/>
              </w:rPr>
              <w:t xml:space="preserve">Наименование документа</w:t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b/>
                <w:sz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highlight w:val="none"/>
                <w:lang w:val="ru-RU" w:eastAsia="ru-RU"/>
              </w:rPr>
              <w:t xml:space="preserve">Обязательность предоставления</w:t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sz w:val="20"/>
                <w:highlight w:val="none"/>
              </w:rPr>
            </w:r>
          </w:p>
        </w:tc>
      </w:tr>
      <w:tr>
        <w:tblPrEx/>
        <w:trPr>
          <w:cantSplit/>
          <w:trHeight w:val="370"/>
        </w:trPr>
        <w:tc>
          <w:tcPr>
            <w:tcW w:w="910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2"/>
            <w:tcW w:w="2950" w:type="dxa"/>
            <w:vMerge w:val="restart"/>
            <w:textDirection w:val="lrTb"/>
            <w:noWrap w:val="false"/>
          </w:tcPr>
          <w:p>
            <w:pPr>
              <w:shd w:val="clear" w:color="auto" w:fill="auto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Заявление о заключении соответствующего договора, содержащее обязательные реквизиты потребителя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</w:p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</w:p>
        </w:tc>
        <w:tc>
          <w:tcPr>
            <w:gridSpan w:val="2"/>
            <w:tcW w:w="5491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ЮЛ: полное наименование, основной государственный регистрационный номер и идентификационный номер налогоплательщика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tcW w:w="1667" w:type="dxa"/>
            <w:vMerge w:val="restart"/>
            <w:textDirection w:val="lrTb"/>
            <w:noWrap w:val="false"/>
          </w:tcPr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</w:tr>
      <w:tr>
        <w:tblPrEx/>
        <w:trPr>
          <w:trHeight w:val="370"/>
        </w:trPr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  <w:tc>
          <w:tcPr>
            <w:gridSpan w:val="2"/>
            <w:tcW w:w="29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5491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ИП: 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фамилия, имя, отчество (при наличии) физического лица, серия, номер и дата выдачи паспорт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а или иного документа, удостоверяющего личность гражданина на территории Российской Федерации, адрес регистрации по месту жительства, основной государственный регистрационный номер индивидуального предпринимателя и идентификационный номер налогоплательщика</w:t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</w:p>
        </w:tc>
        <w:tc>
          <w:tcPr>
            <w:tcW w:w="1667" w:type="dxa"/>
            <w:vMerge w:val="continue"/>
            <w:textDirection w:val="lrTb"/>
            <w:noWrap w:val="false"/>
          </w:tcPr>
          <w:p>
            <w:pPr>
              <w:pStyle w:val="903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</w:tr>
      <w:tr>
        <w:tblPrEx/>
        <w:trPr>
          <w:trHeight w:val="370"/>
        </w:trPr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  <w:tc>
          <w:tcPr>
            <w:gridSpan w:val="2"/>
            <w:tcW w:w="29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5491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ФЛ: 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фамилия, имя, отчество (при наличии), серия, номер и дата выдачи паспорта или иного документа, удостоверяющего личность гра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жданина на территории Российской Федерации, адрес регистрации по месту жительства, один из идентификаторов - идентификационный номер налогоплательщика или страховой номер индивидуального лицевого счета в системе индивидуального (персонифицированного) учета</w:t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</w:p>
        </w:tc>
        <w:tc>
          <w:tcPr>
            <w:tcW w:w="1667" w:type="dxa"/>
            <w:vMerge w:val="continue"/>
            <w:textDirection w:val="lrTb"/>
            <w:noWrap w:val="false"/>
          </w:tcPr>
          <w:p>
            <w:pPr>
              <w:pStyle w:val="903"/>
              <w:jc w:val="center"/>
              <w:tabs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</w:tr>
      <w:tr>
        <w:tblPrEx/>
        <w:trPr>
          <w:cantSplit/>
          <w:trHeight w:val="666"/>
        </w:trPr>
        <w:tc>
          <w:tcPr>
            <w:tcW w:w="910" w:type="dxa"/>
            <w:vAlign w:val="center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4"/>
            <w:tcW w:w="8441" w:type="dxa"/>
            <w:textDirection w:val="lrTb"/>
            <w:noWrap w:val="false"/>
          </w:tcPr>
          <w:p>
            <w:pPr>
              <w:pStyle w:val="898"/>
              <w:contextualSpacing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Подписанный заявителем проект договора энергоснабжения </w:t>
            </w:r>
            <w:r>
              <w:rPr>
                <w:rFonts w:ascii="Liberation Serif" w:hAnsi="Liberation Serif" w:eastAsia="Liberation Serif" w:cs="Liberation Serif"/>
                <w:i/>
                <w:sz w:val="18"/>
                <w:highlight w:val="none"/>
              </w:rPr>
              <w:t xml:space="preserve">и/</w:t>
            </w:r>
            <w:r>
              <w:rPr>
                <w:rFonts w:ascii="Liberation Serif" w:hAnsi="Liberation Serif" w:eastAsia="Liberation Serif" w:cs="Liberation Serif"/>
                <w:i/>
                <w:sz w:val="18"/>
                <w:highlight w:val="none"/>
              </w:rPr>
              <w:t xml:space="preserve">или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 протокол разногласий к проекту договора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, форма которого размещена (опубликована) гарантирующим поставщиком в центрах очного обслуживания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 и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 на своем сайте в сети «Интернет»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 по адресу http://www.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omes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c.ru/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 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Предоставляются по желанию Заявителя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</w:tr>
      <w:tr>
        <w:tblPrEx/>
        <w:trPr>
          <w:trHeight w:val="463"/>
        </w:trPr>
        <w:tc>
          <w:tcPr>
            <w:tcW w:w="910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4"/>
            <w:tcW w:w="844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Почтовый адрес, контактные телефоны, факс, банковские реквизиты</w:t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</w:p>
        </w:tc>
        <w:tc>
          <w:tcPr>
            <w:tcW w:w="1667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Предоставляется при наличии у Заявителя</w:t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273"/>
        </w:trPr>
        <w:tc>
          <w:tcPr>
            <w:tcW w:w="910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4"/>
            <w:tcW w:w="844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Номер мобильного телефона, адрес электронной почты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tcW w:w="1667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760"/>
        </w:trPr>
        <w:tc>
          <w:tcPr>
            <w:tcW w:w="910" w:type="dxa"/>
            <w:vAlign w:val="center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4"/>
            <w:tcW w:w="8441" w:type="dxa"/>
            <w:vAlign w:val="center"/>
            <w:textDirection w:val="lrTb"/>
            <w:noWrap w:val="false"/>
          </w:tcPr>
          <w:p>
            <w:pPr>
              <w:pStyle w:val="898"/>
              <w:contextualSpacing/>
              <w:spacing w:before="0"/>
              <w:shd w:val="clear" w:color="auto" w:fill="auto"/>
              <w:rPr>
                <w:rFonts w:ascii="Liberation Serif" w:hAnsi="Liberation Serif" w:cs="Liberation Serif"/>
                <w:i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Свидетельство о государственной регистрации заявителя в качестве юридич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еского лица или индивидуального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предпринимателя,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)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i/>
                <w:color w:val="000000"/>
                <w:sz w:val="18"/>
                <w:highlight w:val="none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8"/>
                <w:highlight w:val="none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  <w:t xml:space="preserve">Сведения предоставляются в заявлении о заключении договора*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910" w:type="dxa"/>
            <w:vAlign w:val="center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4"/>
            <w:tcW w:w="8441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Для кооперативов (гаражных и садоводческих) заполненное всеми гражданами (членами кооператива) согласие на обработку персональных данных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  <w:vertAlign w:val="superscript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.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contextualSpacing/>
              <w:jc w:val="both"/>
              <w:shd w:val="clear" w:color="auto" w:fill="auto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Для гаражных кооперативов - справка: количество гаражей, ФИО, паспортные данные собственников или иных владельцев гаражей или иных объектов, в случае нали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чия информации - кадастровые номера земельных участков, величина 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максимальной мощности на каждый гараж либо иной объект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vertAlign w:val="subscript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  <w:t xml:space="preserve">расположенный в границах территории кооператива, в соответствии с решением общего собрания членов кооператива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  <w:vertAlign w:val="subscript"/>
              </w:rPr>
              <w:t xml:space="preserve">.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contextualSpacing/>
              <w:jc w:val="both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Для садоводческих кооперативов - справка: количество земельных участков, ФИО, паспортные данные владельцев земельных участков, кадастровые номера земельных участков, величина максимальной мощности на каждый земельный участок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  <w:vertAlign w:val="superscript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  <w:vertAlign w:val="subscript"/>
              </w:rPr>
              <w:t xml:space="preserve">.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contextualSpacing/>
              <w:jc w:val="both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Для физических лиц, 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индивидуальных предпринимателей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 - заполненное согласие на обработку персональных данных.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</w:tr>
      <w:tr>
        <w:tblPrEx/>
        <w:trPr>
          <w:cantSplit/>
          <w:trHeight w:val="872"/>
        </w:trPr>
        <w:tc>
          <w:tcPr>
            <w:tcW w:w="910" w:type="dxa"/>
            <w:vAlign w:val="center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4"/>
            <w:tcW w:w="8441" w:type="dxa"/>
            <w:vAlign w:val="center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Свидетельство о постановке заявителя на учет в налоговом органе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903"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  <w:t xml:space="preserve">Сведения предоставляются в заявлении о заключении договора*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</w:tr>
      <w:tr>
        <w:tblPrEx/>
        <w:trPr>
          <w:cantSplit/>
          <w:trHeight w:val="105"/>
        </w:trPr>
        <w:tc>
          <w:tcPr>
            <w:tcW w:w="910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tcW w:w="1820" w:type="dxa"/>
            <w:vMerge w:val="restart"/>
            <w:textDirection w:val="lrTb"/>
            <w:noWrap w:val="false"/>
          </w:tcPr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Документы, подтверждающие полномочия лица на подписание договора</w:t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</w:tc>
        <w:tc>
          <w:tcPr>
            <w:gridSpan w:val="3"/>
            <w:tcW w:w="6622" w:type="dxa"/>
            <w:textDirection w:val="lrTb"/>
            <w:noWrap w:val="false"/>
          </w:tcPr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Протокол (решение, приказ) или выписка из протокола (решения, приказа) о назначении руководителя</w:t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</w:tc>
        <w:tc>
          <w:tcPr>
            <w:shd w:val="clear" w:color="auto" w:fill="auto"/>
            <w:tcW w:w="1667" w:type="dxa"/>
            <w:vMerge w:val="restart"/>
            <w:textDirection w:val="lrTb"/>
            <w:noWrap w:val="false"/>
          </w:tcPr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pStyle w:val="898"/>
              <w:jc w:val="center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</w:tr>
      <w:tr>
        <w:tblPrEx/>
        <w:trPr>
          <w:cantSplit/>
          <w:trHeight w:val="457"/>
        </w:trPr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  <w:tc>
          <w:tcPr>
            <w:tcW w:w="1820" w:type="dxa"/>
            <w:vMerge w:val="continue"/>
            <w:textDirection w:val="lrTb"/>
            <w:noWrap w:val="false"/>
          </w:tcPr>
          <w:p>
            <w:pPr>
              <w:pStyle w:val="898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  <w:r>
              <w:rPr>
                <w:color w:val="000000"/>
                <w:sz w:val="18"/>
              </w:rPr>
            </w:r>
            <w:r>
              <w:rPr>
                <w:color w:val="000000"/>
                <w:sz w:val="18"/>
              </w:rPr>
            </w:r>
          </w:p>
        </w:tc>
        <w:tc>
          <w:tcPr>
            <w:gridSpan w:val="3"/>
            <w:tcW w:w="6622" w:type="dxa"/>
            <w:textDirection w:val="lrTb"/>
            <w:noWrap w:val="false"/>
          </w:tcPr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Доверенность на подписание договора </w:t>
            </w:r>
            <w:r>
              <w:rPr>
                <w:rFonts w:ascii="Liberation Serif" w:hAnsi="Liberation Serif" w:eastAsia="Liberation Serif" w:cs="Liberation Serif"/>
                <w:i/>
                <w:color w:val="000000"/>
                <w:sz w:val="18"/>
                <w:highlight w:val="none"/>
              </w:rPr>
              <w:t xml:space="preserve">(если договор подписывает не руководитель)</w:t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</w:tc>
        <w:tc>
          <w:tcPr>
            <w:shd w:val="clear" w:color="auto" w:fill="auto"/>
            <w:tcW w:w="1667" w:type="dxa"/>
            <w:vMerge w:val="continue"/>
            <w:textDirection w:val="lrTb"/>
            <w:noWrap w:val="false"/>
          </w:tcPr>
          <w:p>
            <w:pPr>
              <w:pStyle w:val="898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</w:tr>
      <w:tr>
        <w:tblPrEx/>
        <w:trPr>
          <w:cantSplit/>
          <w:trHeight w:val="105"/>
        </w:trPr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  <w:tc>
          <w:tcPr>
            <w:tcW w:w="1820" w:type="dxa"/>
            <w:vMerge w:val="continue"/>
            <w:textDirection w:val="lrTb"/>
            <w:noWrap w:val="false"/>
          </w:tcPr>
          <w:p>
            <w:pPr>
              <w:pStyle w:val="898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  <w:r>
              <w:rPr>
                <w:color w:val="000000"/>
                <w:sz w:val="18"/>
              </w:rPr>
            </w:r>
            <w:r>
              <w:rPr>
                <w:color w:val="000000"/>
                <w:sz w:val="18"/>
              </w:rPr>
            </w:r>
          </w:p>
        </w:tc>
        <w:tc>
          <w:tcPr>
            <w:gridSpan w:val="3"/>
            <w:tcW w:w="6622" w:type="dxa"/>
            <w:textDirection w:val="lrTb"/>
            <w:noWrap w:val="false"/>
          </w:tcPr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Устав (действующая редакция)</w:t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</w:tc>
        <w:tc>
          <w:tcPr>
            <w:shd w:val="clear" w:color="auto" w:fill="auto"/>
            <w:tcW w:w="1667" w:type="dxa"/>
            <w:vMerge w:val="continue"/>
            <w:textDirection w:val="lrTb"/>
            <w:noWrap w:val="false"/>
          </w:tcPr>
          <w:p>
            <w:pPr>
              <w:pStyle w:val="898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</w:tr>
      <w:tr>
        <w:tblPrEx/>
        <w:trPr>
          <w:cantSplit/>
          <w:trHeight w:val="105"/>
        </w:trPr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  <w:tc>
          <w:tcPr>
            <w:tcW w:w="1820" w:type="dxa"/>
            <w:vMerge w:val="continue"/>
            <w:textDirection w:val="lrTb"/>
            <w:noWrap w:val="false"/>
          </w:tcPr>
          <w:p>
            <w:pPr>
              <w:pStyle w:val="898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  <w:r>
              <w:rPr>
                <w:color w:val="000000"/>
                <w:sz w:val="18"/>
              </w:rPr>
            </w:r>
            <w:r>
              <w:rPr>
                <w:color w:val="000000"/>
                <w:sz w:val="18"/>
              </w:rPr>
            </w:r>
          </w:p>
        </w:tc>
        <w:tc>
          <w:tcPr>
            <w:gridSpan w:val="3"/>
            <w:tcW w:w="6622" w:type="dxa"/>
            <w:textDirection w:val="lrTb"/>
            <w:noWrap w:val="false"/>
          </w:tcPr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Копия паспорта гражданина РФ</w:t>
            </w:r>
            <w:r>
              <w:rPr>
                <w:rFonts w:ascii="Liberation Serif" w:hAnsi="Liberation Serif" w:eastAsia="Liberation Serif" w:cs="Liberation Serif"/>
                <w:i/>
                <w:color w:val="000000"/>
                <w:sz w:val="18"/>
                <w:highlight w:val="none"/>
              </w:rPr>
              <w:t xml:space="preserve"> (если заявителем выступает индивидуальный предприниматель или гражданин)</w:t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</w:tc>
        <w:tc>
          <w:tcPr>
            <w:shd w:val="clear" w:color="auto" w:fill="auto"/>
            <w:tcW w:w="1667" w:type="dxa"/>
            <w:vMerge w:val="continue"/>
            <w:textDirection w:val="lrTb"/>
            <w:noWrap w:val="false"/>
          </w:tcPr>
          <w:p>
            <w:pPr>
              <w:pStyle w:val="898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</w:tr>
      <w:tr>
        <w:tblPrEx/>
        <w:trPr>
          <w:cantSplit/>
          <w:trHeight w:val="275"/>
        </w:trPr>
        <w:tc>
          <w:tcPr>
            <w:tcW w:w="910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3"/>
            <w:tcW w:w="3210" w:type="dxa"/>
            <w:vMerge w:val="restart"/>
            <w:textDirection w:val="lrTb"/>
            <w:noWrap w:val="false"/>
          </w:tcPr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Документы, подтверждающие право собственности (хозяйственного ведения, оперативного управления, аренды и иные законные права владения и (или) пользования, предусмотренные законодательством Российской Федерации) на 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энергопринимающие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 устройства, либо документы, подтверждающие право владения и (или) пользования земельным участком, о снабжении которых электрической энергией указано в заявлении о заключении договора, </w:t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  <w:t xml:space="preserve">либо протокол оценки и сопоставления заявок на участие в конкурсе на право заключения договора аренды объектов теплоснабжения, центр</w:t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  <w:t xml:space="preserve">ализованных систем горячего водоснабжения, холодного водоснабжения и (или) водоотведения, отдельных объектов этих систем, находящихся в государственной или муниципальной собственности, который подтверждает, что заявитель является победителем такого конкурс</w:t>
            </w:r>
            <w:r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none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</w:tc>
        <w:tc>
          <w:tcPr>
            <w:tcW w:w="5231" w:type="dxa"/>
            <w:vMerge w:val="restart"/>
            <w:textDirection w:val="lrTb"/>
            <w:noWrap w:val="false"/>
          </w:tcPr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Выписка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из Единого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государственного реестра 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недвижимости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или Свидетельство о регистрации права собственности на недвижимость</w:t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</w:tc>
        <w:tc>
          <w:tcPr>
            <w:shd w:val="clear" w:color="auto" w:fill="auto"/>
            <w:tcW w:w="1667" w:type="dxa"/>
            <w:vMerge w:val="restart"/>
            <w:textDirection w:val="lrTb"/>
            <w:noWrap w:val="false"/>
          </w:tcPr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pStyle w:val="898"/>
              <w:jc w:val="center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  <w:vertAlign w:val="superscript"/>
              </w:rPr>
              <w:t xml:space="preserve">7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</w:tr>
      <w:tr>
        <w:tblPrEx/>
        <w:trPr>
          <w:trHeight w:val="429"/>
        </w:trPr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  <w:tc>
          <w:tcPr>
            <w:gridSpan w:val="3"/>
            <w:tcW w:w="3210" w:type="dxa"/>
            <w:vMerge w:val="continue"/>
            <w:textDirection w:val="lrTb"/>
            <w:noWrap w:val="false"/>
          </w:tcPr>
          <w:p>
            <w:pPr>
              <w:pStyle w:val="898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  <w:tc>
          <w:tcPr>
            <w:tcW w:w="5231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Выписка из Единого государственного реестра недвижимости или Свидетельство о праве хозяйственного ведения или оперативного управления для объектов нежилого фонда</w:t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</w:tc>
        <w:tc>
          <w:tcPr>
            <w:shd w:val="clear" w:color="ffffff" w:fill="ffffff"/>
            <w:tcW w:w="1667" w:type="dxa"/>
            <w:vMerge w:val="continue"/>
            <w:textDirection w:val="lrTb"/>
            <w:noWrap w:val="false"/>
          </w:tcPr>
          <w:p>
            <w:pPr>
              <w:pStyle w:val="898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</w:tr>
      <w:tr>
        <w:tblPrEx/>
        <w:trPr>
          <w:cantSplit/>
          <w:trHeight w:val="429"/>
        </w:trPr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  <w:tc>
          <w:tcPr>
            <w:gridSpan w:val="3"/>
            <w:tcW w:w="3210" w:type="dxa"/>
            <w:vMerge w:val="continue"/>
            <w:textDirection w:val="lrTb"/>
            <w:noWrap w:val="false"/>
          </w:tcPr>
          <w:p>
            <w:pPr>
              <w:pStyle w:val="898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  <w:tc>
          <w:tcPr>
            <w:tcW w:w="5231" w:type="dxa"/>
            <w:vMerge w:val="restart"/>
            <w:textDirection w:val="lrTb"/>
            <w:noWrap w:val="false"/>
          </w:tcPr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Договор аренды недвижимости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shd w:val="clear" w:color="auto" w:fill="auto"/>
            <w:tcW w:w="1667" w:type="dxa"/>
            <w:vMerge w:val="continue"/>
            <w:textDirection w:val="lrTb"/>
            <w:noWrap w:val="false"/>
          </w:tcPr>
          <w:p>
            <w:pPr>
              <w:pStyle w:val="898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</w:tr>
      <w:tr>
        <w:tblPrEx/>
        <w:trPr>
          <w:cantSplit/>
          <w:trHeight w:val="377"/>
        </w:trPr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  <w:tc>
          <w:tcPr>
            <w:gridSpan w:val="3"/>
            <w:tcW w:w="3210" w:type="dxa"/>
            <w:vMerge w:val="continue"/>
            <w:textDirection w:val="lrTb"/>
            <w:noWrap w:val="false"/>
          </w:tcPr>
          <w:p>
            <w:pPr>
              <w:pStyle w:val="898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  <w:tc>
          <w:tcPr>
            <w:tcW w:w="5231" w:type="dxa"/>
            <w:textDirection w:val="lrTb"/>
            <w:noWrap w:val="false"/>
          </w:tcPr>
          <w:p>
            <w:pPr>
              <w:pStyle w:val="898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Иное 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shd w:val="clear" w:color="auto" w:fill="auto"/>
            <w:tcW w:w="1667" w:type="dxa"/>
            <w:vMerge w:val="continue"/>
            <w:textDirection w:val="lrTb"/>
            <w:noWrap w:val="false"/>
          </w:tcPr>
          <w:p>
            <w:pPr>
              <w:pStyle w:val="898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</w:tr>
      <w:tr>
        <w:tblPrEx/>
        <w:trPr>
          <w:cantSplit/>
          <w:trHeight w:val="488"/>
        </w:trPr>
        <w:tc>
          <w:tcPr>
            <w:tcW w:w="910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3"/>
            <w:tcW w:w="3210" w:type="dxa"/>
            <w:vMerge w:val="restart"/>
            <w:textDirection w:val="lrTb"/>
            <w:noWrap w:val="false"/>
          </w:tcPr>
          <w:p>
            <w:pPr>
              <w:pStyle w:val="898"/>
              <w:contextualSpacing/>
              <w:jc w:val="left"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Документы, подтверждающие технологическое присоединение (в том числе и опосредованно) в установленном порядке 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pStyle w:val="898"/>
              <w:contextualSpacing/>
              <w:jc w:val="left"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shd w:val="clear" w:color="auto" w:fill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5231" w:type="dxa"/>
            <w:vMerge w:val="restart"/>
            <w:textDirection w:val="lrTb"/>
            <w:noWrap w:val="false"/>
          </w:tcPr>
          <w:p>
            <w:pPr>
              <w:pStyle w:val="898"/>
              <w:contextualSpacing/>
              <w:jc w:val="left"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Акт о технологическом присоединении и (или) акт разграничения балансовой принадлежности электросетей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shd w:val="clear" w:color="auto" w:fill="auto"/>
            <w:tcW w:w="1667" w:type="dxa"/>
            <w:textDirection w:val="lrTb"/>
            <w:noWrap w:val="false"/>
          </w:tcPr>
          <w:p>
            <w:pPr>
              <w:pStyle w:val="898"/>
              <w:contextualSpacing/>
              <w:jc w:val="center"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  <w:p>
            <w:pPr>
              <w:pStyle w:val="898"/>
              <w:contextualSpacing/>
              <w:jc w:val="center"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  <w:vertAlign w:val="superscript"/>
              </w:rPr>
              <w:t xml:space="preserve">4,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  <w:vertAlign w:val="superscript"/>
              </w:rPr>
              <w:t xml:space="preserve"> 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</w:tr>
      <w:tr>
        <w:tblPrEx/>
        <w:trPr>
          <w:trHeight w:val="488"/>
        </w:trPr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  <w:tc>
          <w:tcPr>
            <w:gridSpan w:val="3"/>
            <w:tcW w:w="32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231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Иной документ, подтверждающий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технологическое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присоединение</w:t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  <w:p>
            <w:pPr>
              <w:shd w:val="clear" w:color="auto" w:fill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shd w:val="clear" w:color="ffffff" w:fill="ffffff"/>
            <w:tcW w:w="1667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rFonts w:ascii="Liberation Serif" w:hAnsi="Liberation Serif" w:cs="Liberation Serif"/>
                <w:color w:val="000000"/>
                <w:highlight w:val="none"/>
                <w:vertAlign w:val="superscript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Предоставляется при наличии у Заявителя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vertAlign w:val="superscript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highlight w:val="none"/>
                <w:vertAlign w:val="superscript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  <w:vertAlign w:val="superscript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  <w:tc>
          <w:tcPr>
            <w:gridSpan w:val="4"/>
            <w:tcW w:w="8441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i/>
                <w:sz w:val="18"/>
                <w:highlight w:val="none"/>
              </w:rPr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Копия заключённого договора об осуществлении технологического присоединения к электрическим сетям сетевой организации соответствующих энергопринимающих устройств, в котором срок осуществления мероприятий по технологическому 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присоединению соответствующих энергопринимающих устройств на дату направления документов не истёк</w:t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  <w:p>
            <w:pPr>
              <w:pStyle w:val="898"/>
              <w:contextualSpacing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i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903"/>
              <w:contextualSpacing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4"/>
                <w:szCs w:val="1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6"/>
                <w:szCs w:val="16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/>
                <w:sz w:val="16"/>
                <w:szCs w:val="16"/>
                <w:highlight w:val="none"/>
                <w:vertAlign w:val="superscript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16"/>
                <w:szCs w:val="16"/>
                <w:highlight w:val="none"/>
                <w:lang w:val="ru-RU" w:eastAsia="ru-RU"/>
              </w:rPr>
              <w:t xml:space="preserve">к предоставлению в случае заключения договора энергоснабжения до завершения процедуры технологического присоединения энергопринимаю</w:t>
            </w:r>
            <w:r>
              <w:rPr>
                <w:rFonts w:ascii="Liberation Serif" w:hAnsi="Liberation Serif" w:eastAsia="Liberation Serif" w:cs="Liberation Serif"/>
                <w:sz w:val="14"/>
                <w:szCs w:val="14"/>
                <w:highlight w:val="none"/>
                <w:lang w:val="ru-RU" w:eastAsia="ru-RU"/>
              </w:rPr>
              <w:t xml:space="preserve">щих устройств</w:t>
            </w:r>
            <w:r>
              <w:rPr>
                <w:rFonts w:ascii="Liberation Serif" w:hAnsi="Liberation Serif" w:eastAsia="Liberation Serif" w:cs="Liberation Serif"/>
                <w:sz w:val="14"/>
                <w:szCs w:val="14"/>
                <w:highlight w:val="none"/>
                <w:vertAlign w:val="superscript"/>
                <w:lang w:val="ru-RU" w:eastAsia="ru-RU"/>
              </w:rPr>
              <w:t xml:space="preserve">4</w:t>
            </w:r>
            <w:r>
              <w:rPr>
                <w:rFonts w:ascii="Liberation Serif" w:hAnsi="Liberation Serif" w:cs="Liberation Serif"/>
                <w:sz w:val="14"/>
                <w:szCs w:val="14"/>
                <w:highlight w:val="none"/>
              </w:rPr>
            </w:r>
            <w:r>
              <w:rPr>
                <w:rFonts w:ascii="Liberation Serif" w:hAnsi="Liberation Serif" w:cs="Liberation Serif"/>
                <w:sz w:val="14"/>
                <w:szCs w:val="14"/>
                <w:highlight w:val="none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910" w:type="dxa"/>
            <w:vAlign w:val="center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4"/>
            <w:tcW w:w="8441" w:type="dxa"/>
            <w:textDirection w:val="lrTb"/>
            <w:noWrap w:val="false"/>
          </w:tcPr>
          <w:p>
            <w:pPr>
              <w:pStyle w:val="898"/>
              <w:contextualSpacing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Документы о допуске в эксплуатацию 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ПУ, также содержащие описание приборов учета, установленных в отношении энергопринимающих устройств, с указанием типов приборов учета и их классов точности, мест их установки, заводских номеров, даты предыдущей и очередной государственной поверки, 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межповерочного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 интервала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contextualSpacing/>
              <w:jc w:val="center"/>
              <w:shd w:val="clear" w:color="auto" w:fill="auto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Предоставляются 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при наличии у Заявителя 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contextualSpacing/>
              <w:jc w:val="center"/>
              <w:shd w:val="clear" w:color="auto" w:fill="auto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ПУ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  <w:vertAlign w:val="superscript"/>
              </w:rPr>
              <w:t xml:space="preserve">4, 8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 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contextualSpacing/>
              <w:jc w:val="center"/>
              <w:shd w:val="clear" w:color="auto" w:fill="auto"/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6"/>
                <w:szCs w:val="18"/>
                <w:highlight w:val="none"/>
              </w:rPr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и отсутствия указанных данных в акте допуска 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ПУ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 в эксплуатацию</w:t>
            </w:r>
            <w:r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highlight w:val="none"/>
              </w:rPr>
            </w:r>
          </w:p>
        </w:tc>
      </w:tr>
      <w:tr>
        <w:tblPrEx/>
        <w:trPr>
          <w:cantSplit/>
          <w:trHeight w:val="180"/>
        </w:trPr>
        <w:tc>
          <w:tcPr>
            <w:tcW w:w="910" w:type="dxa"/>
            <w:vAlign w:val="center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4"/>
            <w:tcW w:w="8441" w:type="dxa"/>
            <w:textDirection w:val="lrTb"/>
            <w:noWrap w:val="false"/>
          </w:tcPr>
          <w:p>
            <w:pPr>
              <w:pStyle w:val="898"/>
              <w:contextualSpacing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Документ, подтверждающий наличие технологической и (или) аварийной брони 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contextualSpacing/>
              <w:jc w:val="center"/>
              <w:shd w:val="clear" w:color="auto" w:fill="auto"/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При наличии 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 у Заявителя</w:t>
            </w:r>
            <w:r>
              <w:rPr>
                <w:rFonts w:ascii="Liberation Serif" w:hAnsi="Liberation Serif" w:eastAsia="Liberation Serif" w:cs="Liberation Serif"/>
                <w:sz w:val="18"/>
                <w:highlight w:val="none"/>
                <w:vertAlign w:val="superscript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highlight w:val="none"/>
              </w:rPr>
            </w:r>
          </w:p>
        </w:tc>
      </w:tr>
      <w:tr>
        <w:tblPrEx/>
        <w:trPr>
          <w:cantSplit/>
          <w:trHeight w:val="158"/>
        </w:trPr>
        <w:tc>
          <w:tcPr>
            <w:tcW w:w="910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3"/>
            <w:tcW w:w="3210" w:type="dxa"/>
            <w:vMerge w:val="restart"/>
            <w:textDirection w:val="lrTb"/>
            <w:noWrap w:val="false"/>
          </w:tcPr>
          <w:p>
            <w:pPr>
              <w:pStyle w:val="898"/>
              <w:contextualSpacing/>
              <w:spacing w:before="0"/>
              <w:shd w:val="clear" w:color="auto" w:fill="auto"/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18"/>
                <w:highlight w:val="none"/>
              </w:rPr>
              <w:t xml:space="preserve">Иные документы, необходимые для заключения договора оказания услуг по передаче электрической энергии в соответствии с Правилами недискриминационного доступа к услугам по передаче электрической энергии и оказания этих услуг</w:t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8"/>
                <w:highlight w:val="none"/>
              </w:rPr>
            </w:r>
          </w:p>
          <w:p>
            <w:pPr>
              <w:pStyle w:val="898"/>
              <w:contextualSpacing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tcW w:w="5231" w:type="dxa"/>
            <w:textDirection w:val="lrTb"/>
            <w:noWrap w:val="false"/>
          </w:tcPr>
          <w:p>
            <w:pPr>
              <w:pStyle w:val="898"/>
              <w:contextualSpacing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Документы, подтверждающие величину максимальной мощности энергопринимающих устройств, в отношении которых заявитель намерен заключить договор, с ее распределением по точкам поставки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shd w:val="clear" w:color="auto" w:fill="auto"/>
            <w:tcW w:w="1667" w:type="dxa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rFonts w:ascii="Liberation Serif" w:hAnsi="Liberation Serif" w:cs="Liberation Serif"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Обязательно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, в случае отсутствия указанной информации в документах, подтверждающих технологическое присоединение (в том числе и опосредованно)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highlight w:val="none"/>
              </w:rPr>
            </w:r>
          </w:p>
        </w:tc>
      </w:tr>
      <w:tr>
        <w:tblPrEx/>
        <w:trPr>
          <w:cantSplit/>
          <w:trHeight w:val="644"/>
        </w:trPr>
        <w:tc>
          <w:tcPr>
            <w:tcW w:w="910" w:type="dxa"/>
            <w:vAlign w:val="center"/>
            <w:vMerge w:val="continue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Times New Roman" w:hAnsi="Times New Roman"/>
                <w:sz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  <w:r>
              <w:rPr>
                <w:rFonts w:ascii="Times New Roman" w:hAnsi="Times New Roman"/>
                <w:sz w:val="18"/>
                <w:lang w:val="ru-RU" w:eastAsia="ru-RU"/>
              </w:rPr>
            </w:r>
          </w:p>
        </w:tc>
        <w:tc>
          <w:tcPr>
            <w:gridSpan w:val="3"/>
            <w:tcW w:w="3210" w:type="dxa"/>
            <w:vMerge w:val="continue"/>
            <w:textDirection w:val="lrTb"/>
            <w:noWrap w:val="false"/>
          </w:tcPr>
          <w:p>
            <w:pPr>
              <w:pStyle w:val="898"/>
              <w:contextualSpacing/>
              <w:spacing w:before="0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  <w:tc>
          <w:tcPr>
            <w:tcW w:w="5231" w:type="dxa"/>
            <w:textDirection w:val="lrTb"/>
            <w:noWrap w:val="false"/>
          </w:tcPr>
          <w:p>
            <w:pPr>
              <w:pStyle w:val="898"/>
              <w:contextualSpacing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Однолинейная схема электрической сети заявителя с указанием точек присоединения к объектам электросетевого хозяйства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shd w:val="clear" w:color="auto" w:fill="auto"/>
            <w:tcW w:w="1667" w:type="dxa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sz w:val="18"/>
                <w:szCs w:val="18"/>
                <w:highlight w:val="none"/>
                <w:lang w:eastAsia="en-US"/>
              </w:rPr>
              <w:t xml:space="preserve">Предоставляется при наличии у Заявителя</w:t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</w:tc>
      </w:tr>
      <w:tr>
        <w:tblPrEx/>
        <w:trPr>
          <w:cantSplit/>
          <w:trHeight w:val="415"/>
        </w:trPr>
        <w:tc>
          <w:tcPr>
            <w:tcW w:w="910" w:type="dxa"/>
            <w:vAlign w:val="center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firstLine="113"/>
              <w:jc w:val="center"/>
              <w:shd w:val="clear" w:color="auto" w:fill="auto"/>
              <w:tabs>
                <w:tab w:val="num" w:pos="0" w:leader="none"/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  <w:lang w:val="ru-RU" w:eastAsia="ru-RU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gridSpan w:val="4"/>
            <w:tcW w:w="8441" w:type="dxa"/>
            <w:textDirection w:val="lrTb"/>
            <w:noWrap w:val="false"/>
          </w:tcPr>
          <w:p>
            <w:pPr>
              <w:pStyle w:val="898"/>
              <w:contextualSpacing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  <w:t xml:space="preserve">Доверенность на право подачи документов 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highlight w:val="none"/>
              </w:rPr>
              <w:t xml:space="preserve">(в случае если заявление подается заявителем в лице представителя)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none"/>
              </w:rPr>
            </w:r>
          </w:p>
          <w:p>
            <w:pPr>
              <w:pStyle w:val="898"/>
              <w:contextualSpacing/>
              <w:spacing w:before="0"/>
              <w:shd w:val="clear" w:color="auto" w:fill="auto"/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  <w:tc>
          <w:tcPr>
            <w:tcW w:w="1667" w:type="dxa"/>
            <w:textDirection w:val="lrTb"/>
            <w:noWrap w:val="false"/>
          </w:tcPr>
          <w:p>
            <w:pPr>
              <w:pStyle w:val="903"/>
              <w:contextualSpacing/>
              <w:jc w:val="center"/>
              <w:shd w:val="clear" w:color="auto" w:fill="auto"/>
              <w:tabs>
                <w:tab w:val="clear" w:pos="4677" w:leader="none"/>
                <w:tab w:val="clear" w:pos="9355" w:leader="none"/>
              </w:tabs>
              <w:rPr>
                <w:rFonts w:ascii="Liberation Serif" w:hAnsi="Liberation Serif" w:cs="Liberation Serif"/>
                <w:sz w:val="1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18"/>
                <w:highlight w:val="none"/>
              </w:rPr>
              <w:t xml:space="preserve">Обязательно</w:t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  <w:r>
              <w:rPr>
                <w:rFonts w:ascii="Liberation Serif" w:hAnsi="Liberation Serif" w:cs="Liberation Serif"/>
                <w:sz w:val="18"/>
                <w:highlight w:val="none"/>
              </w:rPr>
            </w:r>
          </w:p>
        </w:tc>
      </w:tr>
    </w:tbl>
    <w:p>
      <w:pPr>
        <w:pStyle w:val="903"/>
        <w:ind w:firstLine="720"/>
        <w:jc w:val="both"/>
        <w:shd w:val="clear" w:color="auto" w:fill="auto"/>
        <w:rPr>
          <w:rFonts w:ascii="Liberation Serif" w:hAnsi="Liberation Serif" w:cs="Liberation Serif"/>
          <w:i/>
          <w:sz w:val="18"/>
          <w:highlight w:val="none"/>
          <w:u w:val="single"/>
        </w:rPr>
      </w:pPr>
      <w:r>
        <w:rPr>
          <w:rFonts w:ascii="Liberation Serif" w:hAnsi="Liberation Serif" w:eastAsia="Liberation Serif" w:cs="Liberation Serif"/>
          <w:i/>
          <w:sz w:val="18"/>
          <w:highlight w:val="none"/>
          <w:u w:val="single"/>
        </w:rPr>
      </w:r>
      <w:r>
        <w:rPr>
          <w:rFonts w:ascii="Liberation Serif" w:hAnsi="Liberation Serif" w:cs="Liberation Serif"/>
          <w:i/>
          <w:sz w:val="18"/>
          <w:highlight w:val="none"/>
          <w:u w:val="single"/>
        </w:rPr>
      </w:r>
      <w:r>
        <w:rPr>
          <w:rFonts w:ascii="Liberation Serif" w:hAnsi="Liberation Serif" w:cs="Liberation Serif"/>
          <w:i/>
          <w:sz w:val="18"/>
          <w:highlight w:val="none"/>
          <w:u w:val="single"/>
        </w:rPr>
      </w:r>
    </w:p>
    <w:p>
      <w:pPr>
        <w:pStyle w:val="903"/>
        <w:ind w:firstLine="720"/>
        <w:jc w:val="both"/>
        <w:shd w:val="clear" w:color="auto" w:fill="auto"/>
        <w:rPr>
          <w:rFonts w:ascii="Liberation Serif" w:hAnsi="Liberation Serif" w:cs="Liberation Serif"/>
          <w:i/>
          <w:sz w:val="18"/>
          <w:highlight w:val="none"/>
          <w:u w:val="single"/>
        </w:rPr>
      </w:pPr>
      <w:r>
        <w:rPr>
          <w:rFonts w:ascii="Liberation Serif" w:hAnsi="Liberation Serif" w:eastAsia="Liberation Serif" w:cs="Liberation Serif"/>
          <w:i/>
          <w:sz w:val="18"/>
          <w:highlight w:val="none"/>
          <w:u w:val="single"/>
        </w:rPr>
      </w:r>
      <w:r>
        <w:rPr>
          <w:rFonts w:ascii="Liberation Serif" w:hAnsi="Liberation Serif" w:cs="Liberation Serif"/>
          <w:i/>
          <w:sz w:val="18"/>
          <w:highlight w:val="none"/>
          <w:u w:val="single"/>
        </w:rPr>
      </w:r>
      <w:r>
        <w:rPr>
          <w:rFonts w:ascii="Liberation Serif" w:hAnsi="Liberation Serif" w:cs="Liberation Serif"/>
          <w:i/>
          <w:sz w:val="18"/>
          <w:highlight w:val="none"/>
          <w:u w:val="single"/>
        </w:rPr>
      </w:r>
    </w:p>
    <w:p>
      <w:pPr>
        <w:pStyle w:val="903"/>
        <w:ind w:firstLine="720"/>
        <w:jc w:val="both"/>
        <w:shd w:val="clear" w:color="auto" w:fill="auto"/>
        <w:rPr>
          <w:rFonts w:ascii="Liberation Serif" w:hAnsi="Liberation Serif" w:cs="Liberation Serif"/>
          <w:i/>
          <w:sz w:val="18"/>
          <w:highlight w:val="none"/>
          <w:u w:val="single"/>
        </w:rPr>
      </w:pPr>
      <w:r>
        <w:rPr>
          <w:rFonts w:ascii="Liberation Serif" w:hAnsi="Liberation Serif" w:eastAsia="Liberation Serif" w:cs="Liberation Serif"/>
          <w:i/>
          <w:sz w:val="18"/>
          <w:highlight w:val="none"/>
          <w:u w:val="single"/>
        </w:rPr>
      </w:r>
      <w:r>
        <w:rPr>
          <w:rFonts w:ascii="Liberation Serif" w:hAnsi="Liberation Serif" w:cs="Liberation Serif"/>
          <w:i/>
          <w:sz w:val="18"/>
          <w:highlight w:val="none"/>
          <w:u w:val="single"/>
        </w:rPr>
      </w:r>
      <w:r>
        <w:rPr>
          <w:rFonts w:ascii="Liberation Serif" w:hAnsi="Liberation Serif" w:cs="Liberation Serif"/>
          <w:i/>
          <w:sz w:val="18"/>
          <w:highlight w:val="none"/>
          <w:u w:val="single"/>
        </w:rPr>
      </w:r>
    </w:p>
    <w:p>
      <w:pPr>
        <w:numPr>
          <w:ilvl w:val="0"/>
          <w:numId w:val="17"/>
        </w:numPr>
        <w:ind w:left="567" w:hanging="283"/>
        <w:jc w:val="both"/>
        <w:shd w:val="clear" w:color="auto" w:fill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  <w:t xml:space="preserve">В случае технологического присоединения энергопринимающих устройств, расположенных в границах территории садоводства или огородничества, или энергоприни</w:t>
      </w:r>
      <w:r>
        <w:rPr>
          <w:rFonts w:ascii="Liberation Serif" w:hAnsi="Liberation Serif" w:eastAsia="Liberation Serif" w:cs="Liberation Serif"/>
          <w:highlight w:val="none"/>
        </w:rPr>
        <w:t xml:space="preserve">мающих устройств, принадлежащих кооперативу либо его членам, - заполненное всеми гражданами, осуществляющими ведение садоводства или огородничества на земельных участках, расположенных в границах территории садоводства или огородничества, иными правооблада</w:t>
      </w:r>
      <w:r>
        <w:rPr>
          <w:rFonts w:ascii="Liberation Serif" w:hAnsi="Liberation Serif" w:eastAsia="Liberation Serif" w:cs="Liberation Serif"/>
          <w:highlight w:val="none"/>
        </w:rPr>
        <w:t xml:space="preserve">телями объектов недвижимости, расположенных в границах территории садоводства или огородничества, или собственниками, или иными законными владельцами гаражей либо иных объектов, расположенных в границах территории кооператива, в отношении энергопринимающих</w:t>
      </w:r>
      <w:r>
        <w:rPr>
          <w:rFonts w:ascii="Liberation Serif" w:hAnsi="Liberation Serif" w:eastAsia="Liberation Serif" w:cs="Liberation Serif"/>
          <w:highlight w:val="none"/>
        </w:rPr>
        <w:t xml:space="preserve"> устройств которых подается заявка, 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left="567"/>
        <w:jc w:val="both"/>
        <w:shd w:val="clear" w:color="auto" w:fill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numPr>
          <w:ilvl w:val="0"/>
          <w:numId w:val="17"/>
        </w:numPr>
        <w:ind w:left="567" w:hanging="283"/>
        <w:jc w:val="both"/>
        <w:shd w:val="clear" w:color="auto" w:fill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  <w:t xml:space="preserve">В случае технологического присоединения энергопринимающих устройств, принадлежащих потребительскому кооперативу (гаражно-строительному, гаражному кооп</w:t>
      </w:r>
      <w:r>
        <w:rPr>
          <w:rFonts w:ascii="Liberation Serif" w:hAnsi="Liberation Serif" w:eastAsia="Liberation Serif" w:cs="Liberation Serif"/>
          <w:highlight w:val="none"/>
        </w:rPr>
        <w:t xml:space="preserve">еративу) (далее - кооператив) либо его членам, - справка о количестве гаражей либо иных объектов, расположенных в границах территории кооператива, с указанием информации о фамилии, имени, отчестве собственников или иных законных владельцев гаражей либо ины</w:t>
      </w:r>
      <w:r>
        <w:rPr>
          <w:rFonts w:ascii="Liberation Serif" w:hAnsi="Liberation Serif" w:eastAsia="Liberation Serif" w:cs="Liberation Serif"/>
          <w:highlight w:val="none"/>
        </w:rPr>
        <w:t xml:space="preserve">х объектов, сериях, номерах и датах выдачи паспортов или иных документов, удостоверяющих личность в соответствии с законодательством Российской Федерации, а также в случае наличия такой информации - кадастровые номера земельных участков, расположенных в гр</w:t>
      </w:r>
      <w:r>
        <w:rPr>
          <w:rFonts w:ascii="Liberation Serif" w:hAnsi="Liberation Serif" w:eastAsia="Liberation Serif" w:cs="Liberation Serif"/>
          <w:highlight w:val="none"/>
        </w:rPr>
        <w:t xml:space="preserve">аницах территории кооператива, и данные о величине максимальной мощности энергопринимающих устройств, выделенной на каждый гараж либо иной объект, расположенный в границах территории кооператива, в соответствии с решением общего собрания членов кооператива</w:t>
      </w:r>
      <w:r>
        <w:rPr>
          <w:rFonts w:ascii="Liberation Serif" w:hAnsi="Liberation Serif" w:eastAsia="Liberation Serif" w:cs="Liberation Serif"/>
          <w:highlight w:val="none"/>
        </w:rPr>
        <w:t xml:space="preserve">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14"/>
        <w:shd w:val="clear" w:color="auto" w:fill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numPr>
          <w:ilvl w:val="0"/>
          <w:numId w:val="17"/>
        </w:numPr>
        <w:jc w:val="both"/>
        <w:shd w:val="clear" w:color="auto" w:fill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  <w:t xml:space="preserve">В случае </w:t>
      </w:r>
      <w:r>
        <w:rPr>
          <w:rFonts w:ascii="Liberation Serif" w:hAnsi="Liberation Serif" w:eastAsia="Liberation Serif" w:cs="Liberation Serif"/>
          <w:highlight w:val="none"/>
        </w:rPr>
        <w:t xml:space="preserve">технологического присоединения энергопринимающих устройств, расположенных в границах территории садоводства или огородничества, - справка о количестве земельных участков, расположенных в границах территории садоводства или огородничества, с указанием инфор</w:t>
      </w:r>
      <w:r>
        <w:rPr>
          <w:rFonts w:ascii="Liberation Serif" w:hAnsi="Liberation Serif" w:eastAsia="Liberation Serif" w:cs="Liberation Serif"/>
          <w:highlight w:val="none"/>
        </w:rPr>
        <w:t xml:space="preserve">мации о фамилии, имени, отчестве владельцев земельных участков, сериях, номерах и датах выдачи паспортов или иных документов, удостоверяющих личность в соответствии с законодательством Российской Федерации, а также в случае наличия такой информации - кадас</w:t>
      </w:r>
      <w:r>
        <w:rPr>
          <w:rFonts w:ascii="Liberation Serif" w:hAnsi="Liberation Serif" w:eastAsia="Liberation Serif" w:cs="Liberation Serif"/>
          <w:highlight w:val="none"/>
        </w:rPr>
        <w:t xml:space="preserve">тровые номера земельных участков и данные о величине максимальной мощности энергопринимающих устройств, выделенной на каждый земельный участок в соответствии с решением общего собрания членов садоводческого или огороднического некоммерческого товарищества.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14"/>
        <w:shd w:val="clear" w:color="auto" w:fill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numPr>
          <w:ilvl w:val="0"/>
          <w:numId w:val="17"/>
        </w:numPr>
        <w:jc w:val="both"/>
        <w:shd w:val="clear" w:color="auto" w:fill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highlight w:val="none"/>
        </w:rPr>
        <w:t xml:space="preserve">ри условии заключения договора на энергопринимающ</w:t>
      </w:r>
      <w:r>
        <w:rPr>
          <w:rFonts w:ascii="Liberation Serif" w:hAnsi="Liberation Serif" w:eastAsia="Liberation Serif" w:cs="Liberation Serif"/>
          <w:highlight w:val="none"/>
        </w:rPr>
        <w:t xml:space="preserve">ие</w:t>
      </w:r>
      <w:r>
        <w:rPr>
          <w:rFonts w:ascii="Liberation Serif" w:hAnsi="Liberation Serif" w:eastAsia="Liberation Serif" w:cs="Liberation Serif"/>
          <w:highlight w:val="none"/>
        </w:rPr>
        <w:t xml:space="preserve"> устройства, на которые ранее </w:t>
      </w:r>
      <w:r>
        <w:rPr>
          <w:rFonts w:ascii="Liberation Serif" w:hAnsi="Liberation Serif" w:eastAsia="Liberation Serif" w:cs="Liberation Serif"/>
          <w:highlight w:val="none"/>
        </w:rPr>
        <w:t xml:space="preserve">уже </w:t>
      </w:r>
      <w:r>
        <w:rPr>
          <w:rFonts w:ascii="Liberation Serif" w:hAnsi="Liberation Serif" w:eastAsia="Liberation Serif" w:cs="Liberation Serif"/>
          <w:highlight w:val="none"/>
        </w:rPr>
        <w:t xml:space="preserve">был заключен договор энергоснабжения (купли-продажи </w:t>
      </w:r>
      <w:r>
        <w:rPr>
          <w:rFonts w:ascii="Liberation Serif" w:hAnsi="Liberation Serif" w:eastAsia="Liberation Serif" w:cs="Liberation Serif"/>
          <w:highlight w:val="none"/>
        </w:rPr>
        <w:t xml:space="preserve">эл.энергии</w:t>
      </w:r>
      <w:r>
        <w:rPr>
          <w:rFonts w:ascii="Liberation Serif" w:hAnsi="Liberation Serif" w:eastAsia="Liberation Serif" w:cs="Liberation Serif"/>
          <w:highlight w:val="none"/>
        </w:rPr>
        <w:t xml:space="preserve"> (мощности)) </w:t>
      </w:r>
      <w:r>
        <w:rPr>
          <w:rFonts w:ascii="Liberation Serif" w:hAnsi="Liberation Serif" w:eastAsia="Liberation Serif" w:cs="Liberation Serif"/>
          <w:highlight w:val="none"/>
        </w:rPr>
        <w:t xml:space="preserve">между ГП и предыдущим собственником, документы, указанные в п.8, п.9, п.10, п.11</w:t>
      </w:r>
      <w:r>
        <w:rPr>
          <w:rFonts w:ascii="Liberation Serif" w:hAnsi="Liberation Serif" w:eastAsia="Liberation Serif" w:cs="Liberation Serif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highlight w:val="none"/>
        </w:rPr>
        <w:t xml:space="preserve">настоящего документа, предоставляются по желанию заявителя. </w:t>
      </w:r>
      <w:r>
        <w:rPr>
          <w:rFonts w:ascii="Liberation Serif" w:hAnsi="Liberation Serif" w:eastAsia="Liberation Serif" w:cs="Liberation Serif"/>
          <w:highlight w:val="none"/>
        </w:rPr>
        <w:t xml:space="preserve"> 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14"/>
        <w:shd w:val="clear" w:color="auto" w:fill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tbl>
      <w:tblPr>
        <w:tblW w:w="1208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083"/>
      </w:tblGrid>
      <w:tr>
        <w:tblPrEx/>
        <w:trPr>
          <w:trHeight w:val="132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83" w:type="dxa"/>
            <w:textDirection w:val="lrTb"/>
            <w:noWrap w:val="false"/>
          </w:tcPr>
          <w:p>
            <w:pPr>
              <w:ind w:left="1307" w:right="387" w:hanging="283"/>
              <w:jc w:val="both"/>
              <w:shd w:val="clear" w:color="auto" w:fill="auto"/>
              <w:rPr>
                <w:rFonts w:ascii="Liberation Serif" w:hAnsi="Liberation Serif" w:cs="Liberation Serif"/>
                <w:iCs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. Документы, прилагаемые к заявлению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 о заключении договора, </w:t>
            </w: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кроме проекта договора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подаются в виде копий, подписанных уполномоченным лицом заявителя и заверенных печатью заявителя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, если заявителем является юридическое лицо, </w:t>
            </w: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или подписанных гражданином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, если заявителем выступает индивидуальный предприниматель. </w:t>
            </w: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Заявитель вправе представить копии таких документов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заверенные лицом, уполномоченным в соответствии с законодательством Российской Федерации 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на совершение действий по их заверению.</w:t>
            </w:r>
            <w:r>
              <w:rPr>
                <w:rFonts w:ascii="Liberation Serif" w:hAnsi="Liberation Serif" w:cs="Liberation Serif"/>
                <w:iCs/>
                <w:highlight w:val="none"/>
              </w:rPr>
            </w:r>
            <w:r>
              <w:rPr>
                <w:rFonts w:ascii="Liberation Serif" w:hAnsi="Liberation Serif" w:cs="Liberation Serif"/>
                <w:iCs/>
                <w:highlight w:val="none"/>
              </w:rPr>
            </w:r>
          </w:p>
        </w:tc>
      </w:tr>
      <w:tr>
        <w:tblPrEx/>
        <w:trPr>
          <w:trHeight w:val="143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83" w:type="dxa"/>
            <w:textDirection w:val="lrTb"/>
            <w:noWrap w:val="false"/>
          </w:tcPr>
          <w:p>
            <w:pPr>
              <w:contextualSpacing/>
              <w:ind w:left="1307" w:right="387" w:hanging="283"/>
              <w:jc w:val="both"/>
              <w:shd w:val="clear" w:color="auto" w:fill="auto"/>
              <w:rPr>
                <w:rFonts w:ascii="Liberation Serif" w:hAnsi="Liberation Serif" w:cs="Liberation Serif"/>
                <w:iCs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. Заявитель при подаче заявления и документов в месте нахождения гарантирующего поставщика вправе представить неподписанные и незаверенные копии документов, прилагаемых к заявлению, с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 одновременным </w:t>
            </w: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предъявлением оригиналов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 таких документов. В этом случае в момент принятия заявления и документов от заявителя </w:t>
            </w: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гарантирующий поставщик обязан произвести сверку идентичности копий и оригиналов представленных документов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, после чего </w:t>
            </w: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на копиях таких документов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 гарантирующим поставщиком</w:t>
            </w:r>
            <w:r>
              <w:rPr>
                <w:rFonts w:ascii="Liberation Serif" w:hAnsi="Liberation Serif" w:eastAsia="Liberation Serif" w:cs="Liberation Serif"/>
                <w:bCs/>
                <w:iCs/>
                <w:highlight w:val="none"/>
              </w:rPr>
              <w:t xml:space="preserve"> делаются отметки о соответствии подлинности копий документов оригиналам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 и оригиналы возвращаются заявителю.</w:t>
            </w:r>
            <w:r>
              <w:rPr>
                <w:rFonts w:ascii="Liberation Serif" w:hAnsi="Liberation Serif" w:cs="Liberation Serif"/>
                <w:iCs/>
                <w:highlight w:val="none"/>
              </w:rPr>
            </w:r>
            <w:r>
              <w:rPr>
                <w:rFonts w:ascii="Liberation Serif" w:hAnsi="Liberation Serif" w:cs="Liberation Serif"/>
                <w:iCs/>
                <w:highlight w:val="none"/>
              </w:rPr>
            </w:r>
          </w:p>
          <w:p>
            <w:pPr>
              <w:ind w:left="1307" w:right="387" w:hanging="283"/>
              <w:jc w:val="both"/>
              <w:shd w:val="clear" w:color="auto" w:fill="auto"/>
              <w:tabs>
                <w:tab w:val="left" w:pos="1134" w:leader="none"/>
              </w:tabs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  <w:t xml:space="preserve">.  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В случае направления заявления о заключении договора энергоснабжения в отношении энергопринимающих устройств операторов связи, не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обходимых для обеспечения возможности получения услуг связи собственниками помещений в многоквартирном доме (нанимателями жилых помещений в многоквартирном доме по договору социального найма), максимальная мощность которых составляет не более 5 кВт включит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е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льно, расположенных на объектах общего имущества в многоквартирном доме при отсутствии документов, предусмотренных пунктом 9 и 10 Таблицы 1 настоящего Приложения , представляется копия акта выполненных работ по монтажу или копия описи существующей сети свя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зи с приложением копии договора об оказании услуг связи, заключенного с абонентом до вступления в силу Федерального закона «О внесении изменений в статью 6 Федерального закона «О связи» и Жилищный кодекс Российской Федерации», подготовленные в соответствии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 с Правилами взаимодействия оператора связи и лица, осуществляющего управление многоквартирным домом, при монтаже, эксплуатации и демонтаже сетей связи на объектах общего имущества в многоквартирном доме, утвержденными постановлением Правительства Российск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ой Федерации от 6 августа 2024 г. N 1055 «Об утверждении Правил взаимодействия оператора связи и лица, осуществляющего управление многоквартирным домом, при монтаже, эксплуатации и демонтаже сетей связи на объектах общего имущества в многоквартирном доме».</w:t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  <w:p>
            <w:pPr>
              <w:ind w:left="1307" w:right="387" w:hanging="283"/>
              <w:jc w:val="both"/>
              <w:shd w:val="clear" w:color="auto" w:fill="auto"/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  <w:t xml:space="preserve">8.</w:t>
            </w:r>
            <w:bookmarkStart w:id="0" w:name="undefined"/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  Д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окументы, предусмотренные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 пунктом 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11 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Таблицы 1</w:t>
            </w: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  <w:t xml:space="preserve">, представляются оператором связи в отношении энергопринимающих устройств, максимальная мощность которых составляет не более 5 кВт включительно, расположенных на объектах общего имущества в многоквартирном доме, при их наличии.</w:t>
            </w:r>
            <w:bookmarkEnd w:id="0"/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  <w:p>
            <w:pPr>
              <w:ind w:left="1307" w:right="387" w:hanging="283"/>
              <w:jc w:val="both"/>
              <w:shd w:val="clear" w:color="auto" w:fill="auto"/>
              <w:tabs>
                <w:tab w:val="left" w:pos="1134" w:leader="none"/>
              </w:tabs>
              <w:rPr>
                <w:rFonts w:ascii="Liberation Serif" w:hAnsi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 w:eastAsiaTheme="minorHAnsi"/>
                <w:color w:val="000000"/>
                <w:highlight w:val="none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highlight w:val="none"/>
              </w:rPr>
            </w:r>
          </w:p>
          <w:p>
            <w:pPr>
              <w:contextualSpacing/>
              <w:ind w:left="1307" w:right="387" w:hanging="283"/>
              <w:jc w:val="both"/>
              <w:shd w:val="clear" w:color="auto" w:fill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  <w:p>
            <w:pPr>
              <w:contextualSpacing/>
              <w:ind w:left="1307" w:right="387" w:hanging="283"/>
              <w:jc w:val="both"/>
              <w:shd w:val="clear" w:color="auto" w:fill="auto"/>
              <w:rPr>
                <w:rFonts w:ascii="Liberation Serif" w:hAnsi="Liberation Serif" w:cs="Liberation Serif"/>
                <w:b/>
                <w:highlight w:val="none"/>
                <w:u w:val="single"/>
              </w:rPr>
            </w:pPr>
            <w:r>
              <w:rPr>
                <w:rFonts w:ascii="Liberation Serif" w:hAnsi="Liberation Serif" w:eastAsia="Liberation Serif" w:cs="Liberation Serif"/>
                <w:b/>
                <w:highlight w:val="none"/>
                <w:u w:val="single"/>
              </w:rPr>
            </w:r>
            <w:r>
              <w:rPr>
                <w:rFonts w:ascii="Liberation Serif" w:hAnsi="Liberation Serif" w:cs="Liberation Serif"/>
                <w:b/>
                <w:highlight w:val="none"/>
                <w:u w:val="single"/>
              </w:rPr>
            </w:r>
            <w:r>
              <w:rPr>
                <w:rFonts w:ascii="Liberation Serif" w:hAnsi="Liberation Serif" w:cs="Liberation Serif"/>
                <w:b/>
                <w:highlight w:val="none"/>
                <w:u w:val="single"/>
              </w:rPr>
            </w:r>
          </w:p>
          <w:p>
            <w:pPr>
              <w:contextualSpacing/>
              <w:ind w:left="1307" w:right="387" w:hanging="283"/>
              <w:jc w:val="both"/>
              <w:shd w:val="clear" w:color="auto" w:fill="auto"/>
              <w:rPr>
                <w:rFonts w:ascii="Liberation Serif" w:hAnsi="Liberation Serif" w:cs="Liberation Serif"/>
                <w:iCs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iCs/>
                <w:highlight w:val="none"/>
              </w:rPr>
            </w:r>
            <w:r>
              <w:rPr>
                <w:rFonts w:ascii="Liberation Serif" w:hAnsi="Liberation Serif" w:cs="Liberation Serif"/>
                <w:iCs/>
                <w:highlight w:val="none"/>
              </w:rPr>
            </w:r>
            <w:r>
              <w:rPr>
                <w:rFonts w:ascii="Liberation Serif" w:hAnsi="Liberation Serif" w:cs="Liberation Serif"/>
                <w:iCs/>
                <w:highlight w:val="none"/>
              </w:rPr>
            </w:r>
          </w:p>
        </w:tc>
      </w:tr>
      <w:tr>
        <w:tblPrEx/>
        <w:trPr>
          <w:trHeight w:val="27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83" w:type="dxa"/>
            <w:vMerge w:val="restart"/>
            <w:textDirection w:val="lrTb"/>
            <w:noWrap w:val="false"/>
          </w:tcPr>
          <w:p>
            <w:pPr>
              <w:contextualSpacing/>
              <w:ind w:left="1307" w:hanging="283"/>
              <w:jc w:val="both"/>
              <w:rPr>
                <w:rFonts w:ascii="Liberation Serif" w:hAnsi="Liberation Serif" w:cs="Liberation Serif"/>
                <w:bCs/>
                <w:iCs/>
              </w:rPr>
            </w:pPr>
            <w:r>
              <w:rPr>
                <w:rFonts w:ascii="Liberation Serif" w:hAnsi="Liberation Serif" w:eastAsia="Liberation Serif" w:cs="Liberation Serif"/>
                <w:bCs/>
                <w:iCs/>
              </w:rPr>
            </w:r>
            <w:r>
              <w:rPr>
                <w:rFonts w:ascii="Liberation Serif" w:hAnsi="Liberation Serif" w:cs="Liberation Serif"/>
                <w:bCs/>
                <w:iCs/>
              </w:rPr>
            </w:r>
            <w:r>
              <w:rPr>
                <w:rFonts w:ascii="Liberation Serif" w:hAnsi="Liberation Serif" w:cs="Liberation Serif"/>
                <w:bCs/>
                <w:iCs/>
              </w:rPr>
            </w:r>
          </w:p>
        </w:tc>
      </w:tr>
    </w:tbl>
    <w:p>
      <w:pPr>
        <w:ind w:left="284"/>
        <w:jc w:val="both"/>
        <w:rPr>
          <w:rFonts w:ascii="Liberation Serif" w:hAnsi="Liberation Serif" w:cs="Liberation Serif"/>
          <w:b/>
          <w:bCs/>
          <w:szCs w:val="22"/>
          <w:u w:val="single"/>
        </w:rPr>
      </w:pPr>
      <w:r>
        <w:rPr>
          <w:rFonts w:ascii="Liberation Serif" w:hAnsi="Liberation Serif" w:eastAsia="Liberation Serif" w:cs="Liberation Serif"/>
          <w:b/>
          <w:szCs w:val="22"/>
          <w:u w:val="single"/>
        </w:rPr>
        <w:t xml:space="preserve">Для оформления документов обращаться по нижеуказанным адресам:</w:t>
      </w:r>
      <w:r>
        <w:rPr>
          <w:rFonts w:ascii="Liberation Serif" w:hAnsi="Liberation Serif" w:cs="Liberation Serif"/>
          <w:b/>
          <w:bCs/>
          <w:szCs w:val="22"/>
          <w:u w:val="single"/>
        </w:rPr>
      </w:r>
      <w:r>
        <w:rPr>
          <w:rFonts w:ascii="Liberation Serif" w:hAnsi="Liberation Serif" w:cs="Liberation Serif"/>
          <w:b/>
          <w:bCs/>
          <w:szCs w:val="22"/>
          <w:u w:val="single"/>
        </w:rPr>
      </w:r>
    </w:p>
    <w:p>
      <w:pPr>
        <w:ind w:left="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п.</w:t>
      </w:r>
      <w:r>
        <w:rPr>
          <w:rFonts w:ascii="Liberation Serif" w:hAnsi="Liberation Serif" w:eastAsia="Liberation Serif" w:cs="Liberation Serif"/>
        </w:rPr>
        <w:t xml:space="preserve"> 8</w:t>
      </w:r>
      <w:r>
        <w:rPr>
          <w:rFonts w:ascii="Liberation Serif" w:hAnsi="Liberation Serif" w:eastAsia="Liberation Serif" w:cs="Liberation Serif"/>
        </w:rPr>
        <w:t xml:space="preserve">, 9</w:t>
      </w:r>
      <w:r>
        <w:rPr>
          <w:rFonts w:ascii="Liberation Serif" w:hAnsi="Liberation Serif" w:eastAsia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8"/>
        </w:numPr>
        <w:jc w:val="both"/>
        <w:rPr>
          <w:rFonts w:ascii="Liberation Serif" w:hAnsi="Liberation Serif" w:cs="Liberation Serif"/>
          <w:b/>
          <w:bCs/>
          <w:szCs w:val="22"/>
          <w:u w:val="single"/>
        </w:rPr>
      </w:pPr>
      <w:r>
        <w:rPr>
          <w:rFonts w:ascii="Liberation Serif" w:hAnsi="Liberation Serif" w:eastAsia="Liberation Serif" w:cs="Liberation Serif"/>
        </w:rPr>
        <w:t xml:space="preserve">Филиал ПАО "</w:t>
      </w:r>
      <w:r>
        <w:rPr>
          <w:rFonts w:ascii="Liberation Serif" w:hAnsi="Liberation Serif" w:eastAsia="Liberation Serif" w:cs="Liberation Serif"/>
        </w:rPr>
        <w:t xml:space="preserve">Россети</w:t>
      </w:r>
      <w:r>
        <w:rPr>
          <w:rFonts w:ascii="Liberation Serif" w:hAnsi="Liberation Serif" w:eastAsia="Liberation Serif" w:cs="Liberation Serif"/>
        </w:rPr>
        <w:t xml:space="preserve"> Сибирь" - "Омскэнерго"   телефон горячей линии </w:t>
      </w:r>
      <w:r>
        <w:rPr>
          <w:rFonts w:ascii="Liberation Serif" w:hAnsi="Liberation Serif" w:eastAsia="Liberation Serif" w:cs="Liberation Serif"/>
          <w:szCs w:val="22"/>
        </w:rPr>
        <w:t xml:space="preserve">8-800-220-0-220,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  <w:szCs w:val="22"/>
        </w:rPr>
        <w:t xml:space="preserve">короткий номер 220, Городской РЭС ЗЭС – г. Омск, ул. 5 Северная, 193 т.78-45-85, ЗЭС - ул. 5 Северная, 193, т. 25-83-39;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  <w:szCs w:val="22"/>
        </w:rPr>
        <w:t xml:space="preserve">для потребителей области – обращаться по местонахождению филиала </w:t>
      </w:r>
      <w:r>
        <w:rPr>
          <w:rFonts w:ascii="Liberation Serif" w:hAnsi="Liberation Serif" w:eastAsia="Liberation Serif" w:cs="Liberation Serif"/>
        </w:rPr>
        <w:t xml:space="preserve">ПАО "</w:t>
      </w:r>
      <w:r>
        <w:rPr>
          <w:rFonts w:ascii="Liberation Serif" w:hAnsi="Liberation Serif" w:eastAsia="Liberation Serif" w:cs="Liberation Serif"/>
        </w:rPr>
        <w:t xml:space="preserve">Россети</w:t>
      </w:r>
      <w:r>
        <w:rPr>
          <w:rFonts w:ascii="Liberation Serif" w:hAnsi="Liberation Serif" w:eastAsia="Liberation Serif" w:cs="Liberation Serif"/>
        </w:rPr>
        <w:t xml:space="preserve"> Сибирь"</w:t>
      </w:r>
      <w:r>
        <w:rPr>
          <w:rFonts w:ascii="Liberation Serif" w:hAnsi="Liberation Serif" w:eastAsia="Liberation Serif" w:cs="Liberation Serif"/>
          <w:szCs w:val="22"/>
        </w:rPr>
        <w:t xml:space="preserve"> в районах Омской области; </w:t>
      </w:r>
      <w:r>
        <w:rPr>
          <w:rFonts w:ascii="Liberation Serif" w:hAnsi="Liberation Serif" w:cs="Liberation Serif"/>
          <w:b/>
          <w:bCs/>
          <w:szCs w:val="22"/>
          <w:u w:val="single"/>
        </w:rPr>
      </w:r>
      <w:r>
        <w:rPr>
          <w:rFonts w:ascii="Liberation Serif" w:hAnsi="Liberation Serif" w:cs="Liberation Serif"/>
          <w:b/>
          <w:bCs/>
          <w:szCs w:val="22"/>
          <w:u w:val="single"/>
        </w:rPr>
      </w:r>
    </w:p>
    <w:p>
      <w:pPr>
        <w:numPr>
          <w:ilvl w:val="0"/>
          <w:numId w:val="18"/>
        </w:numPr>
        <w:jc w:val="both"/>
        <w:rPr>
          <w:rFonts w:ascii="Liberation Serif" w:hAnsi="Liberation Serif" w:cs="Liberation Serif"/>
          <w:b/>
          <w:bCs/>
          <w:szCs w:val="22"/>
          <w:u w:val="single"/>
        </w:rPr>
      </w:pPr>
      <w:r>
        <w:rPr>
          <w:rFonts w:ascii="Liberation Serif" w:hAnsi="Liberation Serif" w:eastAsia="Liberation Serif" w:cs="Liberation Serif"/>
          <w:szCs w:val="22"/>
        </w:rPr>
        <w:t xml:space="preserve"> АО "</w:t>
      </w:r>
      <w:r>
        <w:rPr>
          <w:rFonts w:ascii="Liberation Serif" w:hAnsi="Liberation Serif" w:eastAsia="Liberation Serif" w:cs="Liberation Serif"/>
          <w:szCs w:val="22"/>
        </w:rPr>
        <w:t xml:space="preserve">Омскэлектро</w:t>
      </w:r>
      <w:r>
        <w:rPr>
          <w:rFonts w:ascii="Liberation Serif" w:hAnsi="Liberation Serif" w:eastAsia="Liberation Serif" w:cs="Liberation Serif"/>
          <w:szCs w:val="22"/>
        </w:rPr>
        <w:t xml:space="preserve">" </w:t>
      </w:r>
      <w:r>
        <w:rPr>
          <w:rFonts w:ascii="Liberation Serif" w:hAnsi="Liberation Serif" w:eastAsia="Liberation Serif" w:cs="Liberation Serif"/>
        </w:rPr>
        <w:t xml:space="preserve">телефон горячей линии </w:t>
      </w:r>
      <w:r>
        <w:rPr>
          <w:rFonts w:ascii="Liberation Serif" w:hAnsi="Liberation Serif" w:eastAsia="Liberation Serif" w:cs="Liberation Serif"/>
          <w:szCs w:val="22"/>
        </w:rPr>
        <w:t xml:space="preserve">8-800-70-07-828, г.Омск-8, ул.Л.Чайкиной,8 т.53-81-89, ЮРЭС - ул.Калинина,1, т.41-23-30,41-85-30, СРЭС - ул.4 Поселковая, 44А т.65-34-88, 65-20-13, ЛРЭС - ул.О.Кошевого,80 т.55-03-75, 55-18-51;</w:t>
      </w:r>
      <w:r>
        <w:rPr>
          <w:rFonts w:ascii="Liberation Serif" w:hAnsi="Liberation Serif" w:cs="Liberation Serif"/>
          <w:b/>
          <w:bCs/>
          <w:szCs w:val="22"/>
          <w:u w:val="single"/>
        </w:rPr>
      </w:r>
      <w:r>
        <w:rPr>
          <w:rFonts w:ascii="Liberation Serif" w:hAnsi="Liberation Serif" w:cs="Liberation Serif"/>
          <w:b/>
          <w:bCs/>
          <w:szCs w:val="22"/>
          <w:u w:val="single"/>
        </w:rPr>
      </w:r>
    </w:p>
    <w:p>
      <w:pPr>
        <w:numPr>
          <w:ilvl w:val="0"/>
          <w:numId w:val="18"/>
        </w:numPr>
        <w:jc w:val="both"/>
        <w:rPr>
          <w:rFonts w:ascii="Liberation Serif" w:hAnsi="Liberation Serif" w:cs="Liberation Serif"/>
          <w:bCs/>
          <w:szCs w:val="22"/>
        </w:rPr>
      </w:pPr>
      <w:r>
        <w:rPr>
          <w:rFonts w:ascii="Liberation Serif" w:hAnsi="Liberation Serif" w:eastAsia="Liberation Serif" w:cs="Liberation Serif"/>
          <w:bCs/>
          <w:szCs w:val="22"/>
        </w:rPr>
        <w:t xml:space="preserve">ООО "ОЭСК" – г. Омск, ул.  Москаленко, 137, т. 21-91-76;</w:t>
      </w:r>
      <w:r>
        <w:rPr>
          <w:rFonts w:ascii="Liberation Serif" w:hAnsi="Liberation Serif" w:cs="Liberation Serif"/>
          <w:bCs/>
          <w:szCs w:val="22"/>
        </w:rPr>
      </w:r>
      <w:r>
        <w:rPr>
          <w:rFonts w:ascii="Liberation Serif" w:hAnsi="Liberation Serif" w:cs="Liberation Serif"/>
          <w:bCs/>
          <w:szCs w:val="22"/>
        </w:rPr>
      </w:r>
    </w:p>
    <w:p>
      <w:pPr>
        <w:numPr>
          <w:ilvl w:val="0"/>
          <w:numId w:val="18"/>
        </w:numPr>
        <w:jc w:val="both"/>
      </w:pPr>
      <w:r>
        <w:rPr>
          <w:rFonts w:ascii="Liberation Serif" w:hAnsi="Liberation Serif" w:eastAsia="Liberation Serif" w:cs="Liberation Serif"/>
          <w:bCs/>
          <w:szCs w:val="22"/>
        </w:rPr>
      </w:r>
      <w:r>
        <w:rPr>
          <w:rFonts w:ascii="Liberation Serif" w:hAnsi="Liberation Serif" w:eastAsia="Liberation Serif" w:cs="Liberation Serif"/>
          <w:bCs/>
          <w:szCs w:val="22"/>
        </w:rPr>
        <w:t xml:space="preserve">ООО "ЭТК"</w:t>
      </w:r>
      <w:r>
        <w:rPr>
          <w:rFonts w:ascii="Liberation Serif" w:hAnsi="Liberation Serif" w:eastAsia="Liberation Serif" w:cs="Liberation Serif"/>
          <w:bCs/>
          <w:szCs w:val="22"/>
        </w:rPr>
        <w:t xml:space="preserve"> – г. Омск, </w:t>
      </w:r>
      <w:r>
        <w:rPr>
          <w:rFonts w:ascii="Liberation Serif" w:hAnsi="Liberation Serif" w:eastAsia="Liberation Serif" w:cs="Liberation Serif"/>
          <w:bCs/>
          <w:szCs w:val="22"/>
        </w:rPr>
        <w:t xml:space="preserve"> г. Омск, ул. Чапаева, д. 71, 5</w:t>
      </w:r>
      <w:r>
        <w:rPr>
          <w:rFonts w:ascii="Liberation Serif" w:hAnsi="Liberation Serif" w:eastAsia="Liberation Serif" w:cs="Liberation Serif"/>
          <w:bCs/>
          <w:szCs w:val="22"/>
        </w:rPr>
        <w:t xml:space="preserve"> т. </w:t>
      </w:r>
      <w:r>
        <w:rPr>
          <w:rFonts w:ascii="Liberation Serif" w:hAnsi="Liberation Serif" w:cs="Liberation Serif"/>
          <w:bCs/>
          <w:szCs w:val="22"/>
        </w:rPr>
      </w:r>
      <w:r>
        <w:rPr>
          <w:rFonts w:ascii="Liberation Serif" w:hAnsi="Liberation Serif" w:eastAsia="Liberation Serif" w:cs="Liberation Serif"/>
          <w:bCs/>
          <w:szCs w:val="22"/>
        </w:rPr>
        <w:t xml:space="preserve">8-800-250-98-22</w:t>
      </w:r>
      <w:r>
        <w:rPr>
          <w:rFonts w:ascii="Liberation Serif" w:hAnsi="Liberation Serif" w:eastAsia="Liberation Serif" w:cs="Liberation Serif"/>
          <w:bCs/>
          <w:szCs w:val="22"/>
        </w:rPr>
      </w:r>
      <w:r>
        <w:rPr>
          <w:rFonts w:ascii="Liberation Serif" w:hAnsi="Liberation Serif" w:eastAsia="Liberation Serif" w:cs="Liberation Serif"/>
          <w:bCs/>
          <w:szCs w:val="22"/>
        </w:rPr>
        <w:t xml:space="preserve">;</w:t>
      </w:r>
      <w:r>
        <w:rPr>
          <w:rFonts w:ascii="Liberation Serif" w:hAnsi="Liberation Serif" w:cs="Liberation Serif"/>
          <w:bCs/>
          <w:szCs w:val="22"/>
        </w:rPr>
      </w:r>
      <w:r/>
      <w:r>
        <w:rPr>
          <w:rFonts w:ascii="Liberation Serif" w:hAnsi="Liberation Serif" w:eastAsia="Liberation Serif" w:cs="Liberation Serif"/>
          <w:bCs/>
          <w:szCs w:val="22"/>
        </w:rPr>
      </w:r>
    </w:p>
    <w:p>
      <w:pPr>
        <w:numPr>
          <w:ilvl w:val="0"/>
          <w:numId w:val="18"/>
        </w:numPr>
        <w:jc w:val="both"/>
        <w:rPr>
          <w:rFonts w:ascii="Liberation Serif" w:hAnsi="Liberation Serif" w:cs="Liberation Serif"/>
          <w:bCs/>
          <w:szCs w:val="22"/>
        </w:rPr>
      </w:pPr>
      <w:r>
        <w:rPr>
          <w:rFonts w:ascii="Liberation Serif" w:hAnsi="Liberation Serif" w:eastAsia="Liberation Serif" w:cs="Liberation Serif"/>
          <w:szCs w:val="22"/>
        </w:rPr>
        <w:t xml:space="preserve">в </w:t>
      </w:r>
      <w:r>
        <w:rPr>
          <w:rFonts w:ascii="Liberation Serif" w:hAnsi="Liberation Serif" w:eastAsia="Liberation Serif" w:cs="Liberation Serif"/>
        </w:rPr>
        <w:t xml:space="preserve">иную сетевую организацию, к объектам электросетевого хозяйства, которой присоединены </w:t>
      </w:r>
      <w:r>
        <w:rPr>
          <w:rFonts w:ascii="Liberation Serif" w:hAnsi="Liberation Serif" w:eastAsia="Liberation Serif" w:cs="Liberation Serif"/>
        </w:rPr>
        <w:t xml:space="preserve">энергопринимающие</w:t>
      </w:r>
      <w:r>
        <w:rPr>
          <w:rFonts w:ascii="Liberation Serif" w:hAnsi="Liberation Serif" w:eastAsia="Liberation Serif" w:cs="Liberation Serif"/>
        </w:rPr>
        <w:t xml:space="preserve"> устройства заявителя.</w:t>
      </w:r>
      <w:r>
        <w:rPr>
          <w:rFonts w:ascii="Liberation Serif" w:hAnsi="Liberation Serif" w:cs="Liberation Serif"/>
          <w:bCs/>
          <w:szCs w:val="22"/>
        </w:rPr>
      </w:r>
      <w:r>
        <w:rPr>
          <w:rFonts w:ascii="Liberation Serif" w:hAnsi="Liberation Serif" w:cs="Liberation Serif"/>
          <w:bCs/>
          <w:szCs w:val="22"/>
        </w:rPr>
      </w:r>
    </w:p>
    <w:p>
      <w:pPr>
        <w:ind w:left="284"/>
        <w:jc w:val="both"/>
        <w:rPr>
          <w:rFonts w:ascii="Liberation Serif" w:hAnsi="Liberation Serif" w:cs="Liberation Serif"/>
          <w:szCs w:val="22"/>
        </w:rPr>
      </w:pPr>
      <w:r>
        <w:rPr>
          <w:rFonts w:ascii="Liberation Serif" w:hAnsi="Liberation Serif" w:eastAsia="Liberation Serif" w:cs="Liberation Serif"/>
          <w:szCs w:val="22"/>
        </w:rPr>
        <w:t xml:space="preserve">п. 9 –    ООО "ОЭК", г. Омск-42, </w:t>
      </w:r>
      <w:r>
        <w:rPr>
          <w:rFonts w:ascii="Liberation Serif" w:hAnsi="Liberation Serif" w:eastAsia="Liberation Serif" w:cs="Liberation Serif"/>
          <w:szCs w:val="22"/>
        </w:rPr>
        <w:t xml:space="preserve">пр.К.Маркса</w:t>
      </w:r>
      <w:r>
        <w:rPr>
          <w:rFonts w:ascii="Liberation Serif" w:hAnsi="Liberation Serif" w:eastAsia="Liberation Serif" w:cs="Liberation Serif"/>
          <w:szCs w:val="22"/>
        </w:rPr>
        <w:t xml:space="preserve">, 41/15, тел.29-33-06.</w:t>
      </w:r>
      <w:r>
        <w:rPr>
          <w:rFonts w:ascii="Liberation Serif" w:hAnsi="Liberation Serif" w:cs="Liberation Serif"/>
          <w:szCs w:val="22"/>
        </w:rPr>
      </w:r>
      <w:r>
        <w:rPr>
          <w:rFonts w:ascii="Liberation Serif" w:hAnsi="Liberation Serif" w:cs="Liberation Serif"/>
          <w:szCs w:val="22"/>
        </w:rPr>
      </w:r>
    </w:p>
    <w:p>
      <w:pPr>
        <w:ind w:left="284" w:firstLine="436"/>
        <w:jc w:val="both"/>
        <w:rPr>
          <w:rFonts w:ascii="Liberation Serif" w:hAnsi="Liberation Serif" w:cs="Liberation Serif"/>
          <w:szCs w:val="22"/>
        </w:rPr>
      </w:pPr>
      <w:r>
        <w:rPr>
          <w:rFonts w:ascii="Liberation Serif" w:hAnsi="Liberation Serif" w:eastAsia="Liberation Serif" w:cs="Liberation Serif"/>
          <w:szCs w:val="22"/>
        </w:rPr>
        <w:t xml:space="preserve">     Д</w:t>
      </w:r>
      <w:r>
        <w:rPr>
          <w:rFonts w:ascii="Liberation Serif" w:hAnsi="Liberation Serif" w:eastAsia="Liberation Serif" w:cs="Liberation Serif"/>
          <w:szCs w:val="22"/>
        </w:rPr>
        <w:t xml:space="preserve">оговорной</w:t>
      </w:r>
      <w:r>
        <w:rPr>
          <w:rFonts w:ascii="Liberation Serif" w:hAnsi="Liberation Serif" w:eastAsia="Liberation Serif" w:cs="Liberation Serif"/>
          <w:szCs w:val="22"/>
        </w:rPr>
        <w:t xml:space="preserve"> отдел: т.  293-353</w:t>
      </w:r>
      <w:r>
        <w:rPr>
          <w:rFonts w:ascii="Liberation Serif" w:hAnsi="Liberation Serif" w:eastAsia="Liberation Serif" w:cs="Liberation Serif"/>
          <w:szCs w:val="22"/>
        </w:rPr>
        <w:t xml:space="preserve">, </w:t>
      </w:r>
      <w:r>
        <w:rPr>
          <w:rFonts w:ascii="Liberation Serif" w:hAnsi="Liberation Serif" w:eastAsia="Liberation Serif" w:cs="Liberation Serif"/>
          <w:szCs w:val="22"/>
        </w:rPr>
        <w:t xml:space="preserve">29-34-61</w:t>
      </w:r>
      <w:r>
        <w:rPr>
          <w:rFonts w:ascii="Liberation Serif" w:hAnsi="Liberation Serif" w:eastAsia="Liberation Serif" w:cs="Liberation Serif"/>
          <w:szCs w:val="22"/>
        </w:rPr>
        <w:t xml:space="preserve"> </w:t>
      </w:r>
      <w:r>
        <w:rPr>
          <w:rFonts w:ascii="Liberation Serif" w:hAnsi="Liberation Serif" w:eastAsia="Liberation Serif" w:cs="Liberation Serif"/>
          <w:szCs w:val="22"/>
        </w:rPr>
        <w:t xml:space="preserve">управление </w:t>
      </w:r>
      <w:r>
        <w:rPr>
          <w:rFonts w:ascii="Liberation Serif" w:hAnsi="Liberation Serif" w:eastAsia="Liberation Serif" w:cs="Liberation Serif"/>
          <w:szCs w:val="22"/>
        </w:rPr>
        <w:t xml:space="preserve">энергоинспекции</w:t>
      </w:r>
      <w:r>
        <w:rPr>
          <w:rFonts w:ascii="Liberation Serif" w:hAnsi="Liberation Serif" w:eastAsia="Liberation Serif" w:cs="Liberation Serif"/>
          <w:szCs w:val="22"/>
        </w:rPr>
        <w:t xml:space="preserve">: т.293-411, 293-230.</w:t>
      </w:r>
      <w:r>
        <w:rPr>
          <w:rFonts w:ascii="Liberation Serif" w:hAnsi="Liberation Serif" w:cs="Liberation Serif"/>
          <w:szCs w:val="22"/>
        </w:rPr>
      </w:r>
      <w:r>
        <w:rPr>
          <w:rFonts w:ascii="Liberation Serif" w:hAnsi="Liberation Serif" w:cs="Liberation Serif"/>
          <w:szCs w:val="22"/>
        </w:rPr>
      </w:r>
    </w:p>
    <w:p>
      <w:pPr>
        <w:ind w:left="284"/>
        <w:jc w:val="both"/>
        <w:rPr>
          <w:rFonts w:ascii="Liberation Serif" w:hAnsi="Liberation Serif" w:cs="Liberation Serif"/>
          <w:b/>
          <w:i/>
          <w:szCs w:val="22"/>
        </w:rPr>
      </w:pPr>
      <w:r>
        <w:rPr>
          <w:rFonts w:ascii="Liberation Serif" w:hAnsi="Liberation Serif" w:eastAsia="Liberation Serif" w:cs="Liberation Serif"/>
          <w:b/>
          <w:i/>
          <w:szCs w:val="22"/>
        </w:rPr>
        <w:t xml:space="preserve">              При подаче заявления на включение дополнительных объектов в </w:t>
      </w:r>
      <w:r>
        <w:rPr>
          <w:rFonts w:ascii="Liberation Serif" w:hAnsi="Liberation Serif" w:eastAsia="Liberation Serif" w:cs="Liberation Serif"/>
          <w:b/>
          <w:i/>
          <w:iCs/>
          <w:szCs w:val="22"/>
        </w:rPr>
        <w:t xml:space="preserve">действующий </w:t>
      </w:r>
      <w:r>
        <w:rPr>
          <w:rFonts w:ascii="Liberation Serif" w:hAnsi="Liberation Serif" w:eastAsia="Liberation Serif" w:cs="Liberation Serif"/>
          <w:b/>
          <w:i/>
          <w:szCs w:val="22"/>
        </w:rPr>
        <w:t xml:space="preserve">договор энергоснабжения,                        необходимо предоставить документы, указанные в пунктах №№ 1, 9, 10, 11, 12, 13, 14.   </w:t>
      </w:r>
      <w:r>
        <w:rPr>
          <w:rFonts w:ascii="Liberation Serif" w:hAnsi="Liberation Serif" w:cs="Liberation Serif"/>
          <w:b/>
          <w:i/>
          <w:szCs w:val="22"/>
        </w:rPr>
      </w:r>
      <w:r>
        <w:rPr>
          <w:rFonts w:ascii="Liberation Serif" w:hAnsi="Liberation Serif" w:cs="Liberation Serif"/>
          <w:b/>
          <w:i/>
          <w:szCs w:val="22"/>
        </w:rPr>
      </w:r>
    </w:p>
    <w:p>
      <w:pPr>
        <w:ind w:left="284"/>
        <w:jc w:val="both"/>
        <w:rPr>
          <w:rFonts w:ascii="Liberation Serif" w:hAnsi="Liberation Serif" w:cs="Liberation Serif"/>
          <w:b/>
          <w:i/>
          <w:szCs w:val="22"/>
        </w:rPr>
      </w:pPr>
      <w:r>
        <w:rPr>
          <w:rFonts w:ascii="Liberation Serif" w:hAnsi="Liberation Serif" w:eastAsia="Liberation Serif" w:cs="Liberation Serif"/>
          <w:b/>
          <w:i/>
          <w:szCs w:val="22"/>
        </w:rPr>
      </w:r>
      <w:r>
        <w:rPr>
          <w:rFonts w:ascii="Liberation Serif" w:hAnsi="Liberation Serif" w:cs="Liberation Serif"/>
          <w:b/>
          <w:i/>
          <w:szCs w:val="22"/>
        </w:rPr>
      </w:r>
      <w:r>
        <w:rPr>
          <w:rFonts w:ascii="Liberation Serif" w:hAnsi="Liberation Serif" w:cs="Liberation Serif"/>
          <w:b/>
          <w:i/>
          <w:szCs w:val="22"/>
        </w:rPr>
      </w:r>
    </w:p>
    <w:p>
      <w:pPr>
        <w:ind w:left="284"/>
        <w:jc w:val="both"/>
        <w:rPr>
          <w:rFonts w:ascii="Liberation Serif" w:hAnsi="Liberation Serif" w:cs="Liberation Serif"/>
          <w:b/>
          <w:i/>
          <w:szCs w:val="22"/>
        </w:rPr>
      </w:pPr>
      <w:r>
        <w:rPr>
          <w:rFonts w:ascii="Liberation Serif" w:hAnsi="Liberation Serif" w:eastAsia="Liberation Serif" w:cs="Liberation Serif"/>
          <w:b/>
          <w:i/>
          <w:szCs w:val="22"/>
        </w:rPr>
      </w:r>
      <w:r>
        <w:rPr>
          <w:rFonts w:ascii="Liberation Serif" w:hAnsi="Liberation Serif" w:cs="Liberation Serif"/>
          <w:b/>
          <w:i/>
          <w:szCs w:val="22"/>
        </w:rPr>
      </w:r>
      <w:r>
        <w:rPr>
          <w:rFonts w:ascii="Liberation Serif" w:hAnsi="Liberation Serif" w:cs="Liberation Serif"/>
          <w:b/>
          <w:i/>
          <w:szCs w:val="22"/>
        </w:rPr>
      </w:r>
    </w:p>
    <w:p>
      <w:pPr>
        <w:ind w:left="644"/>
        <w:jc w:val="both"/>
        <w:rPr>
          <w:rFonts w:ascii="Liberation Serif" w:hAnsi="Liberation Serif" w:cs="Liberation Serif"/>
          <w:b/>
          <w:i/>
          <w:szCs w:val="22"/>
        </w:rPr>
      </w:pPr>
      <w:r>
        <w:rPr>
          <w:rFonts w:ascii="Liberation Serif" w:hAnsi="Liberation Serif" w:eastAsia="Liberation Serif" w:cs="Liberation Serif"/>
          <w:b/>
          <w:i/>
          <w:szCs w:val="22"/>
        </w:rPr>
        <w:t xml:space="preserve">* </w:t>
      </w:r>
      <w:r>
        <w:rPr>
          <w:rFonts w:ascii="Liberation Serif" w:hAnsi="Liberation Serif" w:eastAsia="Liberation Serif" w:cs="Liberation Serif"/>
          <w:b/>
          <w:i/>
          <w:szCs w:val="22"/>
        </w:rPr>
        <w:t xml:space="preserve">В соответствии с </w:t>
      </w:r>
      <w:r>
        <w:rPr>
          <w:rFonts w:ascii="Liberation Serif" w:hAnsi="Liberation Serif" w:eastAsia="Liberation Serif" w:cs="Liberation Serif"/>
          <w:b/>
          <w:i/>
          <w:szCs w:val="22"/>
        </w:rPr>
        <w:t xml:space="preserve">ПП РФ от 29</w:t>
      </w:r>
      <w:r>
        <w:rPr>
          <w:rFonts w:ascii="Liberation Serif" w:hAnsi="Liberation Serif" w:eastAsia="Liberation Serif" w:cs="Liberation Serif"/>
          <w:b/>
          <w:i/>
          <w:szCs w:val="22"/>
        </w:rPr>
        <w:t xml:space="preserve">.03.2024 №395.</w:t>
      </w:r>
      <w:r>
        <w:rPr>
          <w:rFonts w:ascii="Liberation Serif" w:hAnsi="Liberation Serif" w:cs="Liberation Serif"/>
          <w:b/>
          <w:i/>
          <w:szCs w:val="22"/>
        </w:rPr>
      </w:r>
      <w:r>
        <w:rPr>
          <w:rFonts w:ascii="Liberation Serif" w:hAnsi="Liberation Serif" w:cs="Liberation Serif"/>
          <w:b/>
          <w:i/>
          <w:szCs w:val="22"/>
        </w:rPr>
      </w:r>
    </w:p>
    <w:p>
      <w:pPr>
        <w:ind w:left="709"/>
        <w:jc w:val="both"/>
        <w:rPr>
          <w:rFonts w:ascii="Liberation Serif" w:hAnsi="Liberation Serif" w:cs="Liberation Serif"/>
          <w:b/>
          <w:i/>
          <w:szCs w:val="22"/>
        </w:rPr>
      </w:pPr>
      <w:r>
        <w:rPr>
          <w:rFonts w:ascii="Liberation Serif" w:hAnsi="Liberation Serif" w:eastAsia="Liberation Serif" w:cs="Liberation Serif"/>
          <w:b/>
          <w:i/>
          <w:szCs w:val="22"/>
        </w:rPr>
        <w:t xml:space="preserve">  </w:t>
      </w:r>
      <w:r>
        <w:rPr>
          <w:rFonts w:ascii="Liberation Serif" w:hAnsi="Liberation Serif" w:eastAsia="Liberation Serif" w:cs="Liberation Serif"/>
          <w:b/>
          <w:i/>
          <w:szCs w:val="22"/>
        </w:rPr>
        <w:t xml:space="preserve">В случае несоответствия сведений</w:t>
      </w:r>
      <w:r>
        <w:rPr>
          <w:rFonts w:ascii="Liberation Serif" w:hAnsi="Liberation Serif" w:eastAsia="Liberation Serif" w:cs="Liberation Serif"/>
          <w:b/>
          <w:i/>
          <w:szCs w:val="22"/>
        </w:rPr>
        <w:t xml:space="preserve">,</w:t>
      </w:r>
      <w:r>
        <w:rPr>
          <w:rFonts w:ascii="Liberation Serif" w:hAnsi="Liberation Serif" w:eastAsia="Liberation Serif" w:cs="Liberation Serif"/>
          <w:b/>
          <w:i/>
          <w:szCs w:val="22"/>
        </w:rPr>
        <w:t xml:space="preserve"> указанных в Заявлении ГП имеет право запросить копии, подтверждающих </w:t>
      </w:r>
      <w:r>
        <w:rPr>
          <w:rFonts w:ascii="Liberation Serif" w:hAnsi="Liberation Serif" w:eastAsia="Liberation Serif" w:cs="Liberation Serif"/>
          <w:b/>
          <w:i/>
          <w:szCs w:val="22"/>
        </w:rPr>
        <w:t xml:space="preserve">  </w:t>
      </w:r>
      <w:r>
        <w:rPr>
          <w:rFonts w:ascii="Liberation Serif" w:hAnsi="Liberation Serif" w:eastAsia="Liberation Serif" w:cs="Liberation Serif"/>
          <w:b/>
          <w:i/>
          <w:szCs w:val="22"/>
        </w:rPr>
        <w:t xml:space="preserve">документов. </w:t>
      </w:r>
      <w:r>
        <w:rPr>
          <w:rFonts w:ascii="Liberation Serif" w:hAnsi="Liberation Serif" w:cs="Liberation Serif"/>
          <w:b/>
          <w:i/>
          <w:szCs w:val="22"/>
        </w:rPr>
      </w:r>
      <w:r>
        <w:rPr>
          <w:rFonts w:ascii="Liberation Serif" w:hAnsi="Liberation Serif" w:cs="Liberation Serif"/>
          <w:b/>
          <w:i/>
          <w:szCs w:val="22"/>
        </w:rPr>
      </w:r>
    </w:p>
    <w:p>
      <w:pPr>
        <w:ind w:left="284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84" w:right="425" w:bottom="170" w:left="567" w:header="720" w:footer="12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right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end"/>
    </w:r>
    <w:r>
      <w:rPr>
        <w:rStyle w:val="904"/>
      </w:rPr>
    </w:r>
    <w:r>
      <w:rPr>
        <w:rStyle w:val="904"/>
      </w:rPr>
    </w:r>
  </w:p>
  <w:p>
    <w:pPr>
      <w:pStyle w:val="903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61" w:hanging="360"/>
        <w:tabs>
          <w:tab w:val="num" w:pos="961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  <w:tabs>
          <w:tab w:val="num" w:pos="36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  <w:tabs>
          <w:tab w:val="num" w:pos="36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  <w:tabs>
          <w:tab w:val="num" w:pos="36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3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3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10"/>
  </w:num>
  <w:num w:numId="9">
    <w:abstractNumId w:val="17"/>
  </w:num>
  <w:num w:numId="10">
    <w:abstractNumId w:val="14"/>
  </w:num>
  <w:num w:numId="11">
    <w:abstractNumId w:val="7"/>
  </w:num>
  <w:num w:numId="12">
    <w:abstractNumId w:val="16"/>
  </w:num>
  <w:num w:numId="13">
    <w:abstractNumId w:val="5"/>
  </w:num>
  <w:num w:numId="14">
    <w:abstractNumId w:val="8"/>
  </w:num>
  <w:num w:numId="15">
    <w:abstractNumId w:val="13"/>
  </w:num>
  <w:num w:numId="16">
    <w:abstractNumId w:val="9"/>
  </w:num>
  <w:num w:numId="17">
    <w:abstractNumId w:val="11"/>
  </w:num>
  <w:num w:numId="18">
    <w:abstractNumId w:val="3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4">
    <w:name w:val="Heading 1 Char"/>
    <w:basedOn w:val="900"/>
    <w:link w:val="897"/>
    <w:uiPriority w:val="9"/>
    <w:rPr>
      <w:rFonts w:ascii="Arial" w:hAnsi="Arial" w:eastAsia="Arial" w:cs="Arial"/>
      <w:sz w:val="40"/>
      <w:szCs w:val="40"/>
    </w:rPr>
  </w:style>
  <w:style w:type="character" w:styleId="725">
    <w:name w:val="Heading 2 Char"/>
    <w:basedOn w:val="900"/>
    <w:link w:val="898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896"/>
    <w:next w:val="896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basedOn w:val="900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896"/>
    <w:next w:val="896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basedOn w:val="900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30">
    <w:name w:val="Heading 5 Char"/>
    <w:basedOn w:val="900"/>
    <w:link w:val="899"/>
    <w:uiPriority w:val="9"/>
    <w:rPr>
      <w:rFonts w:ascii="Arial" w:hAnsi="Arial" w:eastAsia="Arial" w:cs="Arial"/>
      <w:b/>
      <w:bCs/>
      <w:sz w:val="24"/>
      <w:szCs w:val="24"/>
    </w:rPr>
  </w:style>
  <w:style w:type="paragraph" w:styleId="731">
    <w:name w:val="Heading 6"/>
    <w:basedOn w:val="896"/>
    <w:next w:val="896"/>
    <w:link w:val="73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2">
    <w:name w:val="Heading 6 Char"/>
    <w:basedOn w:val="900"/>
    <w:link w:val="731"/>
    <w:uiPriority w:val="9"/>
    <w:rPr>
      <w:rFonts w:ascii="Arial" w:hAnsi="Arial" w:eastAsia="Arial" w:cs="Arial"/>
      <w:b/>
      <w:bCs/>
      <w:sz w:val="22"/>
      <w:szCs w:val="22"/>
    </w:rPr>
  </w:style>
  <w:style w:type="paragraph" w:styleId="733">
    <w:name w:val="Heading 7"/>
    <w:basedOn w:val="896"/>
    <w:next w:val="896"/>
    <w:link w:val="7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4">
    <w:name w:val="Heading 7 Char"/>
    <w:basedOn w:val="900"/>
    <w:link w:val="73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896"/>
    <w:next w:val="896"/>
    <w:link w:val="73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6">
    <w:name w:val="Heading 8 Char"/>
    <w:basedOn w:val="900"/>
    <w:link w:val="735"/>
    <w:uiPriority w:val="9"/>
    <w:rPr>
      <w:rFonts w:ascii="Arial" w:hAnsi="Arial" w:eastAsia="Arial" w:cs="Arial"/>
      <w:i/>
      <w:iCs/>
      <w:sz w:val="22"/>
      <w:szCs w:val="22"/>
    </w:rPr>
  </w:style>
  <w:style w:type="paragraph" w:styleId="737">
    <w:name w:val="Heading 9"/>
    <w:basedOn w:val="896"/>
    <w:next w:val="896"/>
    <w:link w:val="73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8">
    <w:name w:val="Heading 9 Char"/>
    <w:basedOn w:val="900"/>
    <w:link w:val="737"/>
    <w:uiPriority w:val="9"/>
    <w:rPr>
      <w:rFonts w:ascii="Arial" w:hAnsi="Arial" w:eastAsia="Arial" w:cs="Arial"/>
      <w:i/>
      <w:iCs/>
      <w:sz w:val="21"/>
      <w:szCs w:val="21"/>
    </w:rPr>
  </w:style>
  <w:style w:type="paragraph" w:styleId="739">
    <w:name w:val="No Spacing"/>
    <w:uiPriority w:val="1"/>
    <w:qFormat/>
    <w:pPr>
      <w:spacing w:before="0" w:after="0" w:line="240" w:lineRule="auto"/>
    </w:pPr>
  </w:style>
  <w:style w:type="paragraph" w:styleId="740">
    <w:name w:val="Title"/>
    <w:basedOn w:val="896"/>
    <w:next w:val="896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basedOn w:val="900"/>
    <w:link w:val="740"/>
    <w:uiPriority w:val="10"/>
    <w:rPr>
      <w:sz w:val="48"/>
      <w:szCs w:val="48"/>
    </w:rPr>
  </w:style>
  <w:style w:type="paragraph" w:styleId="742">
    <w:name w:val="Subtitle"/>
    <w:basedOn w:val="896"/>
    <w:next w:val="896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>
    <w:name w:val="Subtitle Char"/>
    <w:basedOn w:val="900"/>
    <w:link w:val="742"/>
    <w:uiPriority w:val="11"/>
    <w:rPr>
      <w:sz w:val="24"/>
      <w:szCs w:val="24"/>
    </w:rPr>
  </w:style>
  <w:style w:type="paragraph" w:styleId="744">
    <w:name w:val="Quote"/>
    <w:basedOn w:val="896"/>
    <w:next w:val="896"/>
    <w:link w:val="745"/>
    <w:uiPriority w:val="29"/>
    <w:qFormat/>
    <w:pPr>
      <w:ind w:left="720" w:right="720"/>
    </w:pPr>
    <w:rPr>
      <w:i/>
    </w:r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basedOn w:val="896"/>
    <w:next w:val="896"/>
    <w:link w:val="7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>
    <w:name w:val="Intense Quote Char"/>
    <w:link w:val="746"/>
    <w:uiPriority w:val="30"/>
    <w:rPr>
      <w:i/>
    </w:rPr>
  </w:style>
  <w:style w:type="character" w:styleId="748">
    <w:name w:val="Header Char"/>
    <w:basedOn w:val="900"/>
    <w:link w:val="912"/>
    <w:uiPriority w:val="99"/>
  </w:style>
  <w:style w:type="character" w:styleId="749">
    <w:name w:val="Footer Char"/>
    <w:basedOn w:val="900"/>
    <w:link w:val="903"/>
    <w:uiPriority w:val="99"/>
  </w:style>
  <w:style w:type="paragraph" w:styleId="750">
    <w:name w:val="Caption"/>
    <w:basedOn w:val="896"/>
    <w:next w:val="8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1">
    <w:name w:val="Caption Char"/>
    <w:basedOn w:val="750"/>
    <w:link w:val="903"/>
    <w:uiPriority w:val="99"/>
  </w:style>
  <w:style w:type="table" w:styleId="752">
    <w:name w:val="Table Grid"/>
    <w:basedOn w:val="90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52">
    <w:name w:val="List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3">
    <w:name w:val="List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4">
    <w:name w:val="List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5">
    <w:name w:val="List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6">
    <w:name w:val="List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7">
    <w:name w:val="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9">
    <w:name w:val="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3">
    <w:name w:val="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 &amp; 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6">
    <w:name w:val="Bordered &amp; 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7">
    <w:name w:val="Bordered &amp; 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8">
    <w:name w:val="Bordered &amp; 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9">
    <w:name w:val="Bordered &amp; 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0">
    <w:name w:val="Bordered &amp; 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1">
    <w:name w:val="Bordered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basedOn w:val="896"/>
    <w:link w:val="880"/>
    <w:uiPriority w:val="99"/>
    <w:semiHidden/>
    <w:unhideWhenUsed/>
    <w:pPr>
      <w:spacing w:after="40" w:line="240" w:lineRule="auto"/>
    </w:pPr>
    <w:rPr>
      <w:sz w:val="18"/>
    </w:r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basedOn w:val="900"/>
    <w:uiPriority w:val="99"/>
    <w:unhideWhenUsed/>
    <w:rPr>
      <w:vertAlign w:val="superscript"/>
    </w:rPr>
  </w:style>
  <w:style w:type="paragraph" w:styleId="882">
    <w:name w:val="endnote text"/>
    <w:basedOn w:val="896"/>
    <w:link w:val="883"/>
    <w:uiPriority w:val="99"/>
    <w:semiHidden/>
    <w:unhideWhenUsed/>
    <w:pPr>
      <w:spacing w:after="0" w:line="240" w:lineRule="auto"/>
    </w:pPr>
    <w:rPr>
      <w:sz w:val="20"/>
    </w:rPr>
  </w:style>
  <w:style w:type="character" w:styleId="883">
    <w:name w:val="Endnote Text Char"/>
    <w:link w:val="882"/>
    <w:uiPriority w:val="99"/>
    <w:rPr>
      <w:sz w:val="20"/>
    </w:rPr>
  </w:style>
  <w:style w:type="character" w:styleId="884">
    <w:name w:val="endnote reference"/>
    <w:basedOn w:val="900"/>
    <w:uiPriority w:val="99"/>
    <w:semiHidden/>
    <w:unhideWhenUsed/>
    <w:rPr>
      <w:vertAlign w:val="superscript"/>
    </w:rPr>
  </w:style>
  <w:style w:type="paragraph" w:styleId="885">
    <w:name w:val="toc 1"/>
    <w:basedOn w:val="896"/>
    <w:next w:val="896"/>
    <w:uiPriority w:val="39"/>
    <w:unhideWhenUsed/>
    <w:pPr>
      <w:ind w:left="0" w:right="0" w:firstLine="0"/>
      <w:spacing w:after="57"/>
    </w:pPr>
  </w:style>
  <w:style w:type="paragraph" w:styleId="886">
    <w:name w:val="toc 2"/>
    <w:basedOn w:val="896"/>
    <w:next w:val="896"/>
    <w:uiPriority w:val="39"/>
    <w:unhideWhenUsed/>
    <w:pPr>
      <w:ind w:left="283" w:right="0" w:firstLine="0"/>
      <w:spacing w:after="57"/>
    </w:pPr>
  </w:style>
  <w:style w:type="paragraph" w:styleId="887">
    <w:name w:val="toc 3"/>
    <w:basedOn w:val="896"/>
    <w:next w:val="896"/>
    <w:uiPriority w:val="39"/>
    <w:unhideWhenUsed/>
    <w:pPr>
      <w:ind w:left="567" w:right="0" w:firstLine="0"/>
      <w:spacing w:after="57"/>
    </w:pPr>
  </w:style>
  <w:style w:type="paragraph" w:styleId="888">
    <w:name w:val="toc 4"/>
    <w:basedOn w:val="896"/>
    <w:next w:val="896"/>
    <w:uiPriority w:val="39"/>
    <w:unhideWhenUsed/>
    <w:pPr>
      <w:ind w:left="850" w:right="0" w:firstLine="0"/>
      <w:spacing w:after="57"/>
    </w:pPr>
  </w:style>
  <w:style w:type="paragraph" w:styleId="889">
    <w:name w:val="toc 5"/>
    <w:basedOn w:val="896"/>
    <w:next w:val="896"/>
    <w:uiPriority w:val="39"/>
    <w:unhideWhenUsed/>
    <w:pPr>
      <w:ind w:left="1134" w:right="0" w:firstLine="0"/>
      <w:spacing w:after="57"/>
    </w:pPr>
  </w:style>
  <w:style w:type="paragraph" w:styleId="890">
    <w:name w:val="toc 6"/>
    <w:basedOn w:val="896"/>
    <w:next w:val="896"/>
    <w:uiPriority w:val="39"/>
    <w:unhideWhenUsed/>
    <w:pPr>
      <w:ind w:left="1417" w:right="0" w:firstLine="0"/>
      <w:spacing w:after="57"/>
    </w:pPr>
  </w:style>
  <w:style w:type="paragraph" w:styleId="891">
    <w:name w:val="toc 7"/>
    <w:basedOn w:val="896"/>
    <w:next w:val="896"/>
    <w:uiPriority w:val="39"/>
    <w:unhideWhenUsed/>
    <w:pPr>
      <w:ind w:left="1701" w:right="0" w:firstLine="0"/>
      <w:spacing w:after="57"/>
    </w:pPr>
  </w:style>
  <w:style w:type="paragraph" w:styleId="892">
    <w:name w:val="toc 8"/>
    <w:basedOn w:val="896"/>
    <w:next w:val="896"/>
    <w:uiPriority w:val="39"/>
    <w:unhideWhenUsed/>
    <w:pPr>
      <w:ind w:left="1984" w:right="0" w:firstLine="0"/>
      <w:spacing w:after="57"/>
    </w:pPr>
  </w:style>
  <w:style w:type="paragraph" w:styleId="893">
    <w:name w:val="toc 9"/>
    <w:basedOn w:val="896"/>
    <w:next w:val="896"/>
    <w:uiPriority w:val="39"/>
    <w:unhideWhenUsed/>
    <w:pPr>
      <w:ind w:left="2268" w:right="0" w:firstLine="0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basedOn w:val="896"/>
    <w:next w:val="896"/>
    <w:uiPriority w:val="99"/>
    <w:unhideWhenUsed/>
    <w:pPr>
      <w:spacing w:after="0" w:afterAutospacing="0"/>
    </w:pPr>
  </w:style>
  <w:style w:type="paragraph" w:styleId="896" w:default="1">
    <w:name w:val="Normal"/>
    <w:qFormat/>
  </w:style>
  <w:style w:type="paragraph" w:styleId="897">
    <w:name w:val="Heading 1"/>
    <w:basedOn w:val="896"/>
    <w:next w:val="896"/>
    <w:qFormat/>
    <w:pPr>
      <w:jc w:val="center"/>
      <w:keepNext/>
      <w:spacing w:before="120"/>
      <w:outlineLvl w:val="0"/>
    </w:pPr>
    <w:rPr>
      <w:b/>
      <w:sz w:val="24"/>
    </w:rPr>
  </w:style>
  <w:style w:type="paragraph" w:styleId="898">
    <w:name w:val="Heading 2"/>
    <w:basedOn w:val="896"/>
    <w:next w:val="896"/>
    <w:qFormat/>
    <w:pPr>
      <w:jc w:val="both"/>
      <w:keepNext/>
      <w:spacing w:before="60"/>
      <w:outlineLvl w:val="1"/>
    </w:pPr>
    <w:rPr>
      <w:sz w:val="24"/>
    </w:rPr>
  </w:style>
  <w:style w:type="paragraph" w:styleId="899">
    <w:name w:val="Heading 5"/>
    <w:basedOn w:val="896"/>
    <w:next w:val="896"/>
    <w:qFormat/>
    <w:pPr>
      <w:ind w:left="357"/>
      <w:jc w:val="both"/>
      <w:keepNext/>
      <w:spacing w:before="60" w:line="360" w:lineRule="auto"/>
      <w:outlineLvl w:val="4"/>
    </w:pPr>
    <w:rPr>
      <w:sz w:val="24"/>
    </w:rPr>
  </w:style>
  <w:style w:type="character" w:styleId="900" w:default="1">
    <w:name w:val="Default Paragraph Font"/>
    <w:uiPriority w:val="1"/>
    <w:semiHidden/>
    <w:unhideWhenUsed/>
  </w:style>
  <w:style w:type="table" w:styleId="9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2" w:default="1">
    <w:name w:val="No List"/>
    <w:uiPriority w:val="99"/>
    <w:semiHidden/>
    <w:unhideWhenUsed/>
  </w:style>
  <w:style w:type="paragraph" w:styleId="903">
    <w:name w:val="Footer"/>
    <w:basedOn w:val="896"/>
    <w:link w:val="913"/>
    <w:pPr>
      <w:tabs>
        <w:tab w:val="center" w:pos="4677" w:leader="none"/>
        <w:tab w:val="right" w:pos="9355" w:leader="none"/>
      </w:tabs>
    </w:pPr>
    <w:rPr>
      <w:rFonts w:ascii="Courier New" w:hAnsi="Courier New"/>
      <w:sz w:val="24"/>
    </w:rPr>
  </w:style>
  <w:style w:type="character" w:styleId="904">
    <w:name w:val="page number"/>
    <w:basedOn w:val="900"/>
  </w:style>
  <w:style w:type="paragraph" w:styleId="905">
    <w:name w:val="Body Text Indent"/>
    <w:basedOn w:val="896"/>
    <w:pPr>
      <w:ind w:left="1134"/>
      <w:jc w:val="both"/>
      <w:spacing w:line="360" w:lineRule="auto"/>
    </w:pPr>
    <w:rPr>
      <w:sz w:val="24"/>
    </w:rPr>
  </w:style>
  <w:style w:type="paragraph" w:styleId="906">
    <w:name w:val="Body Text Indent 3"/>
    <w:basedOn w:val="896"/>
    <w:pPr>
      <w:ind w:left="360"/>
      <w:jc w:val="both"/>
      <w:spacing w:before="60" w:line="360" w:lineRule="auto"/>
    </w:pPr>
    <w:rPr>
      <w:sz w:val="24"/>
    </w:rPr>
  </w:style>
  <w:style w:type="paragraph" w:styleId="907">
    <w:name w:val="Body Text"/>
    <w:basedOn w:val="896"/>
    <w:pPr>
      <w:jc w:val="both"/>
    </w:pPr>
    <w:rPr>
      <w:sz w:val="24"/>
    </w:rPr>
  </w:style>
  <w:style w:type="paragraph" w:styleId="908">
    <w:name w:val="Body Text 2"/>
    <w:basedOn w:val="896"/>
    <w:pPr>
      <w:jc w:val="both"/>
      <w:spacing w:before="120"/>
    </w:pPr>
    <w:rPr>
      <w:sz w:val="26"/>
    </w:rPr>
  </w:style>
  <w:style w:type="paragraph" w:styleId="909">
    <w:name w:val="Block Text"/>
    <w:basedOn w:val="896"/>
    <w:pPr>
      <w:ind w:left="1134" w:right="1841"/>
      <w:jc w:val="both"/>
      <w:spacing w:line="360" w:lineRule="auto"/>
    </w:pPr>
    <w:rPr>
      <w:b/>
      <w:i/>
      <w:sz w:val="24"/>
    </w:rPr>
  </w:style>
  <w:style w:type="paragraph" w:styleId="910">
    <w:name w:val="Body Text 3"/>
    <w:basedOn w:val="896"/>
    <w:pPr>
      <w:ind w:right="992"/>
      <w:jc w:val="both"/>
      <w:spacing w:before="60"/>
      <w:tabs>
        <w:tab w:val="left" w:pos="9639" w:leader="none"/>
      </w:tabs>
    </w:pPr>
    <w:rPr>
      <w:sz w:val="24"/>
    </w:rPr>
  </w:style>
  <w:style w:type="paragraph" w:styleId="911">
    <w:name w:val="Balloon Text"/>
    <w:basedOn w:val="896"/>
    <w:semiHidden/>
    <w:rPr>
      <w:rFonts w:ascii="Tahoma" w:hAnsi="Tahoma" w:cs="Tahoma"/>
      <w:sz w:val="16"/>
      <w:szCs w:val="16"/>
    </w:rPr>
  </w:style>
  <w:style w:type="paragraph" w:styleId="912">
    <w:name w:val="Header"/>
    <w:basedOn w:val="896"/>
    <w:pPr>
      <w:tabs>
        <w:tab w:val="center" w:pos="4677" w:leader="none"/>
        <w:tab w:val="right" w:pos="9355" w:leader="none"/>
      </w:tabs>
    </w:pPr>
  </w:style>
  <w:style w:type="character" w:styleId="913" w:customStyle="1">
    <w:name w:val="Нижний колонтитул Знак"/>
    <w:link w:val="903"/>
    <w:rPr>
      <w:rFonts w:ascii="Courier New" w:hAnsi="Courier New"/>
      <w:sz w:val="24"/>
    </w:rPr>
  </w:style>
  <w:style w:type="paragraph" w:styleId="914">
    <w:name w:val="List Paragraph"/>
    <w:basedOn w:val="896"/>
    <w:uiPriority w:val="34"/>
    <w:qFormat/>
    <w:pPr>
      <w:ind w:left="708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2B0AD-BD58-4FD7-8343-CDB1BAEED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jurim</dc:creator>
  <cp:keywords/>
  <cp:revision>13</cp:revision>
  <dcterms:created xsi:type="dcterms:W3CDTF">2024-05-22T05:10:00Z</dcterms:created>
  <dcterms:modified xsi:type="dcterms:W3CDTF">2024-12-09T12:48:54Z</dcterms:modified>
</cp:coreProperties>
</file>